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D723E" w14:textId="244ADF98" w:rsidR="00DC0606" w:rsidRPr="00B204E6" w:rsidRDefault="00DC0606" w:rsidP="00DC0606">
      <w:pPr>
        <w:pStyle w:val="Default"/>
        <w:spacing w:line="360" w:lineRule="auto"/>
        <w:rPr>
          <w:b/>
          <w:bCs/>
          <w:sz w:val="40"/>
          <w:szCs w:val="40"/>
        </w:rPr>
      </w:pPr>
      <w:r w:rsidRPr="00B204E6">
        <w:rPr>
          <w:b/>
          <w:bCs/>
          <w:i/>
          <w:iCs/>
          <w:sz w:val="40"/>
          <w:szCs w:val="40"/>
        </w:rPr>
        <w:t xml:space="preserve">Commercial eSpeaking, </w:t>
      </w:r>
      <w:r w:rsidRPr="00B204E6">
        <w:rPr>
          <w:b/>
          <w:bCs/>
          <w:sz w:val="40"/>
          <w:szCs w:val="40"/>
        </w:rPr>
        <w:t xml:space="preserve">Summer 2024, No </w:t>
      </w:r>
      <w:r w:rsidR="00B204E6" w:rsidRPr="00B204E6">
        <w:rPr>
          <w:b/>
          <w:bCs/>
          <w:sz w:val="40"/>
          <w:szCs w:val="40"/>
        </w:rPr>
        <w:t>66</w:t>
      </w:r>
    </w:p>
    <w:p w14:paraId="79891C5E" w14:textId="77777777" w:rsidR="00DC0606" w:rsidRDefault="00DC0606" w:rsidP="00DC0606">
      <w:pPr>
        <w:pStyle w:val="Default"/>
        <w:spacing w:line="360" w:lineRule="auto"/>
        <w:rPr>
          <w:sz w:val="19"/>
          <w:szCs w:val="19"/>
        </w:rPr>
      </w:pPr>
    </w:p>
    <w:p w14:paraId="7611E187" w14:textId="2EA48B84" w:rsidR="004C6294" w:rsidRDefault="005A7AE2" w:rsidP="00DC0606">
      <w:pPr>
        <w:pStyle w:val="Default"/>
        <w:spacing w:line="360" w:lineRule="auto"/>
        <w:rPr>
          <w:sz w:val="19"/>
          <w:szCs w:val="19"/>
        </w:rPr>
      </w:pPr>
      <w:r>
        <w:rPr>
          <w:sz w:val="19"/>
          <w:szCs w:val="19"/>
        </w:rPr>
        <w:t xml:space="preserve">Welcome to the first edition of </w:t>
      </w:r>
      <w:r>
        <w:rPr>
          <w:i/>
          <w:iCs/>
          <w:sz w:val="19"/>
          <w:szCs w:val="19"/>
        </w:rPr>
        <w:t>Commercial eSpeaking</w:t>
      </w:r>
      <w:r>
        <w:rPr>
          <w:sz w:val="19"/>
          <w:szCs w:val="19"/>
        </w:rPr>
        <w:t xml:space="preserve"> for 2024.</w:t>
      </w:r>
    </w:p>
    <w:p w14:paraId="2705E1EB" w14:textId="77777777" w:rsidR="004C6294" w:rsidRDefault="004C6294" w:rsidP="00DC0606">
      <w:pPr>
        <w:pStyle w:val="Default"/>
        <w:spacing w:line="360" w:lineRule="auto"/>
        <w:rPr>
          <w:sz w:val="19"/>
          <w:szCs w:val="19"/>
        </w:rPr>
      </w:pPr>
    </w:p>
    <w:p w14:paraId="27B8C12D" w14:textId="77777777" w:rsidR="004C6294" w:rsidRDefault="005A7AE2" w:rsidP="00DC0606">
      <w:pPr>
        <w:pStyle w:val="Default"/>
        <w:spacing w:line="360" w:lineRule="auto"/>
        <w:rPr>
          <w:sz w:val="19"/>
          <w:szCs w:val="19"/>
        </w:rPr>
      </w:pPr>
      <w:r>
        <w:rPr>
          <w:sz w:val="19"/>
          <w:szCs w:val="19"/>
        </w:rPr>
        <w:t>In this issue we cover trial periods (now available for all businesses)and probation periods, the implications for landowners and company directors resulting from the Whakaari/White Island prosecutions, and we have three brief articles of 2024 business news.</w:t>
      </w:r>
    </w:p>
    <w:p w14:paraId="75D795CA" w14:textId="77777777" w:rsidR="004C6294" w:rsidRDefault="004C6294" w:rsidP="00DC0606">
      <w:pPr>
        <w:pStyle w:val="Default"/>
        <w:spacing w:line="360" w:lineRule="auto"/>
        <w:rPr>
          <w:sz w:val="19"/>
          <w:szCs w:val="19"/>
        </w:rPr>
      </w:pPr>
    </w:p>
    <w:p w14:paraId="3E86EF73" w14:textId="6F24B885" w:rsidR="004C6294" w:rsidRDefault="005A7AE2" w:rsidP="00DC0606">
      <w:pPr>
        <w:pStyle w:val="Default"/>
        <w:spacing w:line="360" w:lineRule="auto"/>
        <w:rPr>
          <w:sz w:val="19"/>
          <w:szCs w:val="19"/>
        </w:rPr>
      </w:pPr>
      <w:r>
        <w:rPr>
          <w:sz w:val="19"/>
          <w:szCs w:val="19"/>
        </w:rPr>
        <w:t>We hope you enjoy reading this e-newsletter, and that the content is both interesting</w:t>
      </w:r>
      <w:r w:rsidR="000339F6">
        <w:rPr>
          <w:sz w:val="19"/>
          <w:szCs w:val="19"/>
        </w:rPr>
        <w:t xml:space="preserve"> a</w:t>
      </w:r>
      <w:r>
        <w:rPr>
          <w:sz w:val="19"/>
          <w:szCs w:val="19"/>
        </w:rPr>
        <w:t>nd useful.</w:t>
      </w:r>
    </w:p>
    <w:p w14:paraId="599CE073" w14:textId="77777777" w:rsidR="004C6294" w:rsidRDefault="004C6294" w:rsidP="00DC0606">
      <w:pPr>
        <w:pStyle w:val="Default"/>
        <w:spacing w:line="360" w:lineRule="auto"/>
        <w:rPr>
          <w:sz w:val="19"/>
          <w:szCs w:val="19"/>
        </w:rPr>
      </w:pPr>
    </w:p>
    <w:p w14:paraId="725B752A" w14:textId="77777777" w:rsidR="004C6294" w:rsidRDefault="005A7AE2" w:rsidP="00DC0606">
      <w:pPr>
        <w:pStyle w:val="Default"/>
        <w:spacing w:line="360" w:lineRule="auto"/>
        <w:rPr>
          <w:sz w:val="19"/>
          <w:szCs w:val="19"/>
        </w:rPr>
      </w:pPr>
      <w:r>
        <w:rPr>
          <w:sz w:val="19"/>
          <w:szCs w:val="19"/>
        </w:rPr>
        <w:t>If you would like to discuss any of the topics covered, or indeed on any legal matter, please don’t hesitate to contact us. Our details are on the top right of this page.</w:t>
      </w:r>
    </w:p>
    <w:p w14:paraId="39AAC0D9" w14:textId="77777777" w:rsidR="004C6294" w:rsidRDefault="004C6294" w:rsidP="00DC0606">
      <w:pPr>
        <w:pStyle w:val="Default"/>
        <w:spacing w:line="360" w:lineRule="auto"/>
        <w:rPr>
          <w:sz w:val="19"/>
          <w:szCs w:val="19"/>
        </w:rPr>
      </w:pPr>
    </w:p>
    <w:p w14:paraId="7FD5BC8B" w14:textId="77777777" w:rsidR="000339F6" w:rsidRDefault="000339F6" w:rsidP="00DC0606">
      <w:pPr>
        <w:pStyle w:val="Title"/>
        <w:spacing w:line="360" w:lineRule="auto"/>
        <w:rPr>
          <w:rFonts w:ascii="Helvetica" w:hAnsi="Helvetica"/>
          <w:sz w:val="32"/>
          <w:szCs w:val="32"/>
        </w:rPr>
      </w:pPr>
    </w:p>
    <w:p w14:paraId="744CDA79" w14:textId="2E51FCB3" w:rsidR="004C6294" w:rsidRPr="000339F6" w:rsidRDefault="005A7AE2" w:rsidP="000339F6">
      <w:pPr>
        <w:pStyle w:val="Title"/>
        <w:spacing w:line="360" w:lineRule="auto"/>
        <w:rPr>
          <w:rFonts w:ascii="Helvetica" w:eastAsia="Helvetica" w:hAnsi="Helvetica" w:cs="Helvetica"/>
          <w:sz w:val="32"/>
          <w:szCs w:val="32"/>
        </w:rPr>
      </w:pPr>
      <w:r w:rsidRPr="00B204E6">
        <w:rPr>
          <w:rFonts w:ascii="Helvetica" w:hAnsi="Helvetica"/>
          <w:sz w:val="32"/>
          <w:szCs w:val="32"/>
        </w:rPr>
        <w:t>Trial periods vs probation periods</w:t>
      </w:r>
    </w:p>
    <w:p w14:paraId="43664ED7" w14:textId="77777777" w:rsidR="004C6294" w:rsidRPr="00B204E6" w:rsidRDefault="005A7AE2" w:rsidP="00DC0606">
      <w:pPr>
        <w:pStyle w:val="Heading2"/>
        <w:spacing w:line="360" w:lineRule="auto"/>
        <w:rPr>
          <w:rFonts w:ascii="Helvetica" w:eastAsia="Helvetica" w:hAnsi="Helvetica" w:cs="Helvetica"/>
          <w:sz w:val="24"/>
          <w:szCs w:val="24"/>
        </w:rPr>
      </w:pPr>
      <w:r w:rsidRPr="00B204E6">
        <w:rPr>
          <w:rFonts w:ascii="Helvetica" w:hAnsi="Helvetica"/>
          <w:sz w:val="24"/>
          <w:szCs w:val="24"/>
        </w:rPr>
        <w:t>Both are useful for employers</w:t>
      </w:r>
    </w:p>
    <w:p w14:paraId="46EB63C0" w14:textId="77777777" w:rsidR="004C6294" w:rsidRDefault="005A7AE2" w:rsidP="00DC0606">
      <w:pPr>
        <w:pStyle w:val="BodyA"/>
        <w:spacing w:line="360" w:lineRule="auto"/>
        <w:rPr>
          <w:rFonts w:ascii="Helvetica" w:eastAsia="Helvetica" w:hAnsi="Helvetica" w:cs="Helvetica"/>
          <w:sz w:val="19"/>
          <w:szCs w:val="19"/>
        </w:rPr>
      </w:pPr>
      <w:r>
        <w:rPr>
          <w:rFonts w:ascii="Helvetica" w:hAnsi="Helvetica"/>
          <w:sz w:val="19"/>
          <w:szCs w:val="19"/>
        </w:rPr>
        <w:t xml:space="preserve">Many New Zealand business owners know they can offer a trial period (usually 90 days) when hiring a new employee. A trial period is designed to ensure a new employee is a good fit for their employer. </w:t>
      </w:r>
    </w:p>
    <w:p w14:paraId="4F5E87D4" w14:textId="77777777" w:rsidR="004C6294" w:rsidRDefault="004C6294" w:rsidP="00DC0606">
      <w:pPr>
        <w:pStyle w:val="BodyA"/>
        <w:spacing w:line="360" w:lineRule="auto"/>
        <w:rPr>
          <w:rFonts w:ascii="Helvetica" w:eastAsia="Helvetica" w:hAnsi="Helvetica" w:cs="Helvetica"/>
          <w:sz w:val="19"/>
          <w:szCs w:val="19"/>
        </w:rPr>
      </w:pPr>
    </w:p>
    <w:p w14:paraId="788DAA00" w14:textId="77777777" w:rsidR="004C6294" w:rsidRDefault="005A7AE2" w:rsidP="00DC0606">
      <w:pPr>
        <w:pStyle w:val="BodyA"/>
        <w:spacing w:line="360" w:lineRule="auto"/>
        <w:rPr>
          <w:rFonts w:ascii="Helvetica" w:eastAsia="Helvetica" w:hAnsi="Helvetica" w:cs="Helvetica"/>
          <w:sz w:val="19"/>
          <w:szCs w:val="19"/>
        </w:rPr>
      </w:pPr>
      <w:r>
        <w:rPr>
          <w:rFonts w:ascii="Helvetica" w:hAnsi="Helvetica"/>
          <w:sz w:val="19"/>
          <w:szCs w:val="19"/>
        </w:rPr>
        <w:t xml:space="preserve">An alternative to a trial period is a probation period. This is designed to set expectations clearly between you and your employee including the terms of the hire and when a final decision about the suitability of their employment is decided. </w:t>
      </w:r>
    </w:p>
    <w:p w14:paraId="6DBFC7F8" w14:textId="77777777" w:rsidR="004C6294" w:rsidRDefault="004C6294" w:rsidP="00DC0606">
      <w:pPr>
        <w:pStyle w:val="BodyA"/>
        <w:spacing w:line="360" w:lineRule="auto"/>
        <w:rPr>
          <w:rFonts w:ascii="Helvetica" w:eastAsia="Helvetica" w:hAnsi="Helvetica" w:cs="Helvetica"/>
          <w:sz w:val="19"/>
          <w:szCs w:val="19"/>
        </w:rPr>
      </w:pPr>
    </w:p>
    <w:p w14:paraId="71676C9A" w14:textId="77777777" w:rsidR="004C6294" w:rsidRDefault="005A7AE2" w:rsidP="00DC0606">
      <w:pPr>
        <w:pStyle w:val="BodyA"/>
        <w:spacing w:line="360" w:lineRule="auto"/>
        <w:rPr>
          <w:rFonts w:ascii="Helvetica" w:eastAsia="Helvetica" w:hAnsi="Helvetica" w:cs="Helvetica"/>
          <w:sz w:val="19"/>
          <w:szCs w:val="19"/>
        </w:rPr>
      </w:pPr>
      <w:r>
        <w:rPr>
          <w:rFonts w:ascii="Helvetica" w:hAnsi="Helvetica"/>
          <w:sz w:val="19"/>
          <w:szCs w:val="19"/>
        </w:rPr>
        <w:t>We explain the differences between trial and probation periods to enable you to better understand your options.</w:t>
      </w:r>
    </w:p>
    <w:p w14:paraId="27BE455C" w14:textId="77777777" w:rsidR="004C6294" w:rsidRDefault="004C6294" w:rsidP="00DC0606">
      <w:pPr>
        <w:pStyle w:val="BodyA"/>
        <w:spacing w:line="360" w:lineRule="auto"/>
        <w:rPr>
          <w:rFonts w:ascii="Helvetica" w:eastAsia="Helvetica" w:hAnsi="Helvetica" w:cs="Helvetica"/>
          <w:sz w:val="19"/>
          <w:szCs w:val="19"/>
        </w:rPr>
      </w:pPr>
    </w:p>
    <w:p w14:paraId="4977A62D" w14:textId="77777777" w:rsidR="004C6294" w:rsidRPr="00B204E6" w:rsidRDefault="005A7AE2" w:rsidP="00DC0606">
      <w:pPr>
        <w:pStyle w:val="Heading2"/>
        <w:spacing w:line="360" w:lineRule="auto"/>
        <w:rPr>
          <w:sz w:val="24"/>
          <w:szCs w:val="24"/>
        </w:rPr>
      </w:pPr>
      <w:r w:rsidRPr="00B204E6">
        <w:rPr>
          <w:sz w:val="24"/>
          <w:szCs w:val="24"/>
        </w:rPr>
        <w:t xml:space="preserve">Trial period </w:t>
      </w:r>
    </w:p>
    <w:p w14:paraId="0E2ED854" w14:textId="77777777" w:rsidR="004C6294" w:rsidRDefault="005A7AE2" w:rsidP="00DC0606">
      <w:pPr>
        <w:pStyle w:val="BodyA"/>
        <w:spacing w:line="360" w:lineRule="auto"/>
        <w:rPr>
          <w:rFonts w:ascii="Helvetica" w:eastAsia="Helvetica" w:hAnsi="Helvetica" w:cs="Helvetica"/>
          <w:sz w:val="19"/>
          <w:szCs w:val="19"/>
        </w:rPr>
      </w:pPr>
      <w:r>
        <w:rPr>
          <w:rFonts w:ascii="Helvetica" w:hAnsi="Helvetica"/>
          <w:sz w:val="19"/>
          <w:szCs w:val="19"/>
        </w:rPr>
        <w:t>A trial period, if successfully included in an employment agreement, will allow you to terminate the agreement in the first 90 days of employment without your employee being able to raise a personal grievance for the dismissal. Trial periods can, however, only be used in limited circumstances.</w:t>
      </w:r>
    </w:p>
    <w:p w14:paraId="362DC909" w14:textId="77777777" w:rsidR="004C6294" w:rsidRDefault="004C6294" w:rsidP="00DC0606">
      <w:pPr>
        <w:pStyle w:val="BodyA"/>
        <w:spacing w:line="360" w:lineRule="auto"/>
        <w:rPr>
          <w:rFonts w:ascii="Helvetica" w:eastAsia="Helvetica" w:hAnsi="Helvetica" w:cs="Helvetica"/>
          <w:sz w:val="19"/>
          <w:szCs w:val="19"/>
        </w:rPr>
      </w:pPr>
    </w:p>
    <w:p w14:paraId="158632CB" w14:textId="77777777" w:rsidR="004C6294" w:rsidRDefault="005A7AE2" w:rsidP="00DC0606">
      <w:pPr>
        <w:pStyle w:val="BodyA"/>
        <w:spacing w:line="360" w:lineRule="auto"/>
        <w:rPr>
          <w:rFonts w:ascii="Helvetica" w:eastAsia="Helvetica" w:hAnsi="Helvetica" w:cs="Helvetica"/>
          <w:sz w:val="19"/>
          <w:szCs w:val="19"/>
        </w:rPr>
      </w:pPr>
      <w:r>
        <w:rPr>
          <w:rFonts w:ascii="Helvetica" w:hAnsi="Helvetica"/>
          <w:sz w:val="19"/>
          <w:szCs w:val="19"/>
        </w:rPr>
        <w:t xml:space="preserve">Until 23 December last year, using a trial period was only available to employers who had fewer than 19 staff. Now, under the new coalition government, this limitation was removed and trial periods can be used by all employers, regardless of size, for new employees.  </w:t>
      </w:r>
    </w:p>
    <w:p w14:paraId="58574506" w14:textId="77777777" w:rsidR="004C6294" w:rsidRDefault="004C6294" w:rsidP="00DC0606">
      <w:pPr>
        <w:pStyle w:val="BodyA"/>
        <w:spacing w:line="360" w:lineRule="auto"/>
        <w:rPr>
          <w:rFonts w:ascii="Helvetica" w:eastAsia="Helvetica" w:hAnsi="Helvetica" w:cs="Helvetica"/>
          <w:sz w:val="19"/>
          <w:szCs w:val="19"/>
        </w:rPr>
      </w:pPr>
    </w:p>
    <w:p w14:paraId="26FFE89F" w14:textId="77777777" w:rsidR="004C6294" w:rsidRDefault="005A7AE2" w:rsidP="00DC0606">
      <w:pPr>
        <w:pStyle w:val="BodyA"/>
        <w:spacing w:line="360" w:lineRule="auto"/>
        <w:rPr>
          <w:rFonts w:ascii="Helvetica" w:eastAsia="Helvetica" w:hAnsi="Helvetica" w:cs="Helvetica"/>
          <w:sz w:val="19"/>
          <w:szCs w:val="19"/>
        </w:rPr>
      </w:pPr>
      <w:r>
        <w:rPr>
          <w:rFonts w:ascii="Helvetica" w:hAnsi="Helvetica"/>
          <w:sz w:val="19"/>
          <w:szCs w:val="19"/>
        </w:rPr>
        <w:t xml:space="preserve">Key requirements of a valid trial period are: </w:t>
      </w:r>
    </w:p>
    <w:p w14:paraId="428BF5C0" w14:textId="77777777" w:rsidR="004C6294" w:rsidRDefault="005A7AE2" w:rsidP="00DC0606">
      <w:pPr>
        <w:pStyle w:val="BodyA"/>
        <w:numPr>
          <w:ilvl w:val="0"/>
          <w:numId w:val="2"/>
        </w:numPr>
        <w:spacing w:line="360" w:lineRule="auto"/>
        <w:rPr>
          <w:sz w:val="19"/>
          <w:szCs w:val="19"/>
        </w:rPr>
      </w:pPr>
      <w:r>
        <w:rPr>
          <w:rFonts w:ascii="Helvetica" w:hAnsi="Helvetica"/>
          <w:sz w:val="19"/>
          <w:szCs w:val="19"/>
        </w:rPr>
        <w:t>Only for new employees, not current or prior employees</w:t>
      </w:r>
    </w:p>
    <w:p w14:paraId="0E5FA65D" w14:textId="77777777" w:rsidR="004C6294" w:rsidRDefault="005A7AE2" w:rsidP="00DC0606">
      <w:pPr>
        <w:pStyle w:val="BodyA"/>
        <w:numPr>
          <w:ilvl w:val="0"/>
          <w:numId w:val="2"/>
        </w:numPr>
        <w:spacing w:line="360" w:lineRule="auto"/>
        <w:rPr>
          <w:sz w:val="19"/>
          <w:szCs w:val="19"/>
        </w:rPr>
      </w:pPr>
      <w:r>
        <w:rPr>
          <w:rFonts w:ascii="Helvetica" w:hAnsi="Helvetica"/>
          <w:sz w:val="19"/>
          <w:szCs w:val="19"/>
        </w:rPr>
        <w:t>90 days maximum length</w:t>
      </w:r>
    </w:p>
    <w:p w14:paraId="067DE893" w14:textId="77777777" w:rsidR="004C6294" w:rsidRDefault="005A7AE2" w:rsidP="00DC0606">
      <w:pPr>
        <w:pStyle w:val="BodyA"/>
        <w:numPr>
          <w:ilvl w:val="0"/>
          <w:numId w:val="2"/>
        </w:numPr>
        <w:spacing w:line="360" w:lineRule="auto"/>
        <w:rPr>
          <w:sz w:val="19"/>
          <w:szCs w:val="19"/>
        </w:rPr>
      </w:pPr>
      <w:r>
        <w:rPr>
          <w:rFonts w:ascii="Helvetica" w:hAnsi="Helvetica"/>
          <w:sz w:val="19"/>
          <w:szCs w:val="19"/>
        </w:rPr>
        <w:t xml:space="preserve">Must be documented in the written employment agreement, signed before your employee starts work and must contain a valid notice period, and </w:t>
      </w:r>
    </w:p>
    <w:p w14:paraId="274FF804" w14:textId="77777777" w:rsidR="004C6294" w:rsidRDefault="005A7AE2" w:rsidP="00DC0606">
      <w:pPr>
        <w:pStyle w:val="BodyA"/>
        <w:numPr>
          <w:ilvl w:val="0"/>
          <w:numId w:val="2"/>
        </w:numPr>
        <w:spacing w:line="360" w:lineRule="auto"/>
        <w:rPr>
          <w:sz w:val="19"/>
          <w:szCs w:val="19"/>
        </w:rPr>
      </w:pPr>
      <w:r>
        <w:rPr>
          <w:rFonts w:ascii="Helvetica" w:hAnsi="Helvetica"/>
          <w:sz w:val="19"/>
          <w:szCs w:val="19"/>
        </w:rPr>
        <w:lastRenderedPageBreak/>
        <w:t xml:space="preserve">Must only be included in the agreement and exercised in good faith. </w:t>
      </w:r>
    </w:p>
    <w:p w14:paraId="41EA762A" w14:textId="77777777" w:rsidR="004C6294" w:rsidRDefault="004C6294" w:rsidP="00DC0606">
      <w:pPr>
        <w:pStyle w:val="BodyA"/>
        <w:spacing w:line="360" w:lineRule="auto"/>
        <w:rPr>
          <w:rFonts w:ascii="Helvetica" w:eastAsia="Helvetica" w:hAnsi="Helvetica" w:cs="Helvetica"/>
          <w:sz w:val="19"/>
          <w:szCs w:val="19"/>
        </w:rPr>
      </w:pPr>
    </w:p>
    <w:p w14:paraId="5AC3F263" w14:textId="77777777" w:rsidR="004C6294" w:rsidRDefault="005A7AE2" w:rsidP="00DC0606">
      <w:pPr>
        <w:pStyle w:val="BodyA"/>
        <w:spacing w:line="360" w:lineRule="auto"/>
        <w:rPr>
          <w:rFonts w:ascii="Helvetica" w:eastAsia="Helvetica" w:hAnsi="Helvetica" w:cs="Helvetica"/>
          <w:sz w:val="19"/>
          <w:szCs w:val="19"/>
        </w:rPr>
      </w:pPr>
      <w:r>
        <w:rPr>
          <w:rFonts w:ascii="Helvetica" w:hAnsi="Helvetica"/>
          <w:sz w:val="19"/>
          <w:szCs w:val="19"/>
        </w:rPr>
        <w:t xml:space="preserve">When exercising a right to terminate under a 90-day trial clause, you are not obliged to provide any reasons for the termination. It is important to note that your employee can still raise a personal grievance against the business if there are other causes for grievance during their employment, such as (but not limited to) discrimination or bullying. </w:t>
      </w:r>
    </w:p>
    <w:p w14:paraId="2A36A498" w14:textId="77777777" w:rsidR="004C6294" w:rsidRDefault="004C6294" w:rsidP="00DC0606">
      <w:pPr>
        <w:pStyle w:val="BodyA"/>
        <w:spacing w:line="360" w:lineRule="auto"/>
        <w:rPr>
          <w:rFonts w:ascii="Helvetica" w:eastAsia="Helvetica" w:hAnsi="Helvetica" w:cs="Helvetica"/>
          <w:sz w:val="19"/>
          <w:szCs w:val="19"/>
        </w:rPr>
      </w:pPr>
    </w:p>
    <w:p w14:paraId="0D5532E3" w14:textId="77777777" w:rsidR="004C6294" w:rsidRPr="00B204E6" w:rsidRDefault="005A7AE2" w:rsidP="00DC0606">
      <w:pPr>
        <w:pStyle w:val="Heading2"/>
        <w:spacing w:line="360" w:lineRule="auto"/>
        <w:rPr>
          <w:sz w:val="24"/>
          <w:szCs w:val="24"/>
        </w:rPr>
      </w:pPr>
      <w:r w:rsidRPr="00B204E6">
        <w:rPr>
          <w:sz w:val="24"/>
          <w:szCs w:val="24"/>
        </w:rPr>
        <w:t>Probation period</w:t>
      </w:r>
    </w:p>
    <w:p w14:paraId="188DF5E0" w14:textId="77777777" w:rsidR="004C6294" w:rsidRDefault="005A7AE2" w:rsidP="00DC0606">
      <w:pPr>
        <w:pStyle w:val="BodyA"/>
        <w:spacing w:line="360" w:lineRule="auto"/>
        <w:rPr>
          <w:rFonts w:ascii="Helvetica" w:hAnsi="Helvetica"/>
          <w:sz w:val="19"/>
          <w:szCs w:val="19"/>
        </w:rPr>
      </w:pPr>
      <w:r>
        <w:rPr>
          <w:rFonts w:ascii="Helvetica" w:hAnsi="Helvetica"/>
          <w:sz w:val="19"/>
          <w:szCs w:val="19"/>
        </w:rPr>
        <w:t>Unlike a trial period, probation periods have a much wider application in employment law.</w:t>
      </w:r>
    </w:p>
    <w:p w14:paraId="191E49D3" w14:textId="77777777" w:rsidR="004E11C8" w:rsidRDefault="004E11C8" w:rsidP="00DC0606">
      <w:pPr>
        <w:pStyle w:val="BodyA"/>
        <w:spacing w:line="360" w:lineRule="auto"/>
        <w:rPr>
          <w:rFonts w:ascii="Helvetica" w:eastAsia="Helvetica" w:hAnsi="Helvetica" w:cs="Helvetica"/>
          <w:sz w:val="19"/>
          <w:szCs w:val="19"/>
        </w:rPr>
      </w:pPr>
    </w:p>
    <w:p w14:paraId="3A02E703" w14:textId="77777777" w:rsidR="004C6294" w:rsidRDefault="005A7AE2" w:rsidP="00DC0606">
      <w:pPr>
        <w:pStyle w:val="BodyA"/>
        <w:spacing w:line="360" w:lineRule="auto"/>
        <w:rPr>
          <w:rFonts w:ascii="Helvetica" w:eastAsia="Helvetica" w:hAnsi="Helvetica" w:cs="Helvetica"/>
          <w:sz w:val="19"/>
          <w:szCs w:val="19"/>
        </w:rPr>
      </w:pPr>
      <w:r>
        <w:rPr>
          <w:rFonts w:ascii="Helvetica" w:hAnsi="Helvetica"/>
          <w:sz w:val="19"/>
          <w:szCs w:val="19"/>
        </w:rPr>
        <w:t>Probation periods are an ideal way for employers and employees to ‘try out’ a new or expanded role while setting clear expectations that this may only be a temporary employment change, and</w:t>
      </w:r>
      <w:r w:rsidR="00584D2F">
        <w:rPr>
          <w:rFonts w:ascii="Helvetica" w:eastAsia="Helvetica" w:hAnsi="Helvetica" w:cs="Helvetica"/>
          <w:sz w:val="19"/>
          <w:szCs w:val="19"/>
        </w:rPr>
        <w:t xml:space="preserve"> </w:t>
      </w:r>
      <w:r>
        <w:rPr>
          <w:rFonts w:ascii="Helvetica" w:hAnsi="Helvetica"/>
          <w:sz w:val="19"/>
          <w:szCs w:val="19"/>
        </w:rPr>
        <w:t xml:space="preserve">what to expect if it does not work out. </w:t>
      </w:r>
    </w:p>
    <w:p w14:paraId="1C65433F" w14:textId="77777777" w:rsidR="004C6294" w:rsidRDefault="004C6294" w:rsidP="00DC0606">
      <w:pPr>
        <w:pStyle w:val="BodyA"/>
        <w:spacing w:line="360" w:lineRule="auto"/>
        <w:rPr>
          <w:rFonts w:ascii="Helvetica" w:eastAsia="Helvetica" w:hAnsi="Helvetica" w:cs="Helvetica"/>
          <w:sz w:val="19"/>
          <w:szCs w:val="19"/>
        </w:rPr>
      </w:pPr>
    </w:p>
    <w:p w14:paraId="73D1839A" w14:textId="77777777" w:rsidR="004C6294" w:rsidRDefault="005A7AE2" w:rsidP="00DC0606">
      <w:pPr>
        <w:pStyle w:val="BodyA"/>
        <w:spacing w:line="360" w:lineRule="auto"/>
        <w:rPr>
          <w:rFonts w:ascii="Helvetica" w:eastAsia="Helvetica" w:hAnsi="Helvetica" w:cs="Helvetica"/>
          <w:sz w:val="19"/>
          <w:szCs w:val="19"/>
        </w:rPr>
      </w:pPr>
      <w:r>
        <w:rPr>
          <w:rFonts w:ascii="Helvetica" w:hAnsi="Helvetica"/>
          <w:sz w:val="19"/>
          <w:szCs w:val="19"/>
        </w:rPr>
        <w:t xml:space="preserve">Some of the common reasons you may want to use a probation period include making sure a staff member is appropriately skilled for their role, or to allow an existing employee to accept a promotion or lateral move in the business and to show they can do the job. </w:t>
      </w:r>
    </w:p>
    <w:p w14:paraId="47B2A23B" w14:textId="77777777" w:rsidR="004C6294" w:rsidRDefault="004C6294" w:rsidP="00DC0606">
      <w:pPr>
        <w:pStyle w:val="BodyA"/>
        <w:spacing w:line="360" w:lineRule="auto"/>
        <w:rPr>
          <w:rFonts w:ascii="Helvetica" w:eastAsia="Helvetica" w:hAnsi="Helvetica" w:cs="Helvetica"/>
          <w:sz w:val="19"/>
          <w:szCs w:val="19"/>
        </w:rPr>
      </w:pPr>
    </w:p>
    <w:p w14:paraId="2B0691DE" w14:textId="77777777" w:rsidR="004C6294" w:rsidRDefault="005A7AE2" w:rsidP="00DC0606">
      <w:pPr>
        <w:pStyle w:val="BodyA"/>
        <w:spacing w:line="360" w:lineRule="auto"/>
        <w:rPr>
          <w:rFonts w:ascii="Helvetica" w:eastAsia="Helvetica" w:hAnsi="Helvetica" w:cs="Helvetica"/>
          <w:sz w:val="19"/>
          <w:szCs w:val="19"/>
        </w:rPr>
      </w:pPr>
      <w:r>
        <w:rPr>
          <w:rFonts w:ascii="Helvetica" w:hAnsi="Helvetica"/>
          <w:sz w:val="19"/>
          <w:szCs w:val="19"/>
        </w:rPr>
        <w:t>Key characteristics of a valid probation period are:</w:t>
      </w:r>
    </w:p>
    <w:p w14:paraId="3616C2B9" w14:textId="77777777" w:rsidR="004C6294" w:rsidRDefault="005A7AE2" w:rsidP="00DC0606">
      <w:pPr>
        <w:pStyle w:val="BodyA"/>
        <w:numPr>
          <w:ilvl w:val="0"/>
          <w:numId w:val="2"/>
        </w:numPr>
        <w:spacing w:line="360" w:lineRule="auto"/>
        <w:rPr>
          <w:sz w:val="19"/>
          <w:szCs w:val="19"/>
        </w:rPr>
      </w:pPr>
      <w:r>
        <w:rPr>
          <w:rFonts w:ascii="Helvetica" w:hAnsi="Helvetica"/>
          <w:sz w:val="19"/>
          <w:szCs w:val="19"/>
        </w:rPr>
        <w:t>Can be used for existing OR new employees</w:t>
      </w:r>
    </w:p>
    <w:p w14:paraId="2238FB37" w14:textId="77777777" w:rsidR="004C6294" w:rsidRDefault="005A7AE2" w:rsidP="00DC0606">
      <w:pPr>
        <w:pStyle w:val="BodyA"/>
        <w:numPr>
          <w:ilvl w:val="0"/>
          <w:numId w:val="2"/>
        </w:numPr>
        <w:spacing w:line="360" w:lineRule="auto"/>
        <w:rPr>
          <w:sz w:val="19"/>
          <w:szCs w:val="19"/>
        </w:rPr>
      </w:pPr>
      <w:r>
        <w:rPr>
          <w:rFonts w:ascii="Helvetica" w:hAnsi="Helvetica"/>
          <w:sz w:val="19"/>
          <w:szCs w:val="19"/>
        </w:rPr>
        <w:t xml:space="preserve">The probationary period can be for any length of time, as long as it is clearly defined in writing, is reasonable considering the role’s complexity, and has an appropriate agreed notice period </w:t>
      </w:r>
    </w:p>
    <w:p w14:paraId="7F0A35CF" w14:textId="77777777" w:rsidR="004C6294" w:rsidRDefault="005A7AE2" w:rsidP="00DC0606">
      <w:pPr>
        <w:pStyle w:val="BodyA"/>
        <w:numPr>
          <w:ilvl w:val="0"/>
          <w:numId w:val="2"/>
        </w:numPr>
        <w:spacing w:line="360" w:lineRule="auto"/>
        <w:rPr>
          <w:sz w:val="19"/>
          <w:szCs w:val="19"/>
        </w:rPr>
      </w:pPr>
      <w:r>
        <w:rPr>
          <w:rFonts w:ascii="Helvetica" w:hAnsi="Helvetica"/>
          <w:sz w:val="19"/>
          <w:szCs w:val="19"/>
        </w:rPr>
        <w:t xml:space="preserve">The written agreement includes what may occur at the end of the probation period (termination, reversion to their former role and responsibilities, etc), and </w:t>
      </w:r>
    </w:p>
    <w:p w14:paraId="45BF3551" w14:textId="77777777" w:rsidR="004C6294" w:rsidRDefault="005A7AE2" w:rsidP="00DC0606">
      <w:pPr>
        <w:pStyle w:val="BodyA"/>
        <w:numPr>
          <w:ilvl w:val="0"/>
          <w:numId w:val="2"/>
        </w:numPr>
        <w:spacing w:line="360" w:lineRule="auto"/>
        <w:rPr>
          <w:sz w:val="19"/>
          <w:szCs w:val="19"/>
        </w:rPr>
      </w:pPr>
      <w:r>
        <w:rPr>
          <w:rFonts w:ascii="Helvetica" w:hAnsi="Helvetica"/>
          <w:sz w:val="19"/>
          <w:szCs w:val="19"/>
        </w:rPr>
        <w:t xml:space="preserve">That you as the employer must provide adequate support and training. </w:t>
      </w:r>
    </w:p>
    <w:p w14:paraId="536D4CA6" w14:textId="77777777" w:rsidR="004C6294" w:rsidRDefault="004C6294" w:rsidP="00DC0606">
      <w:pPr>
        <w:pStyle w:val="BodyA"/>
        <w:spacing w:line="360" w:lineRule="auto"/>
        <w:rPr>
          <w:rFonts w:ascii="Helvetica" w:eastAsia="Helvetica" w:hAnsi="Helvetica" w:cs="Helvetica"/>
          <w:sz w:val="19"/>
          <w:szCs w:val="19"/>
        </w:rPr>
      </w:pPr>
    </w:p>
    <w:p w14:paraId="23226F8C" w14:textId="77777777" w:rsidR="004C6294" w:rsidRDefault="005A7AE2" w:rsidP="00DC0606">
      <w:pPr>
        <w:pStyle w:val="BodyA"/>
        <w:spacing w:line="360" w:lineRule="auto"/>
        <w:rPr>
          <w:rFonts w:ascii="Helvetica" w:eastAsia="Helvetica" w:hAnsi="Helvetica" w:cs="Helvetica"/>
          <w:sz w:val="19"/>
          <w:szCs w:val="19"/>
        </w:rPr>
      </w:pPr>
      <w:r>
        <w:rPr>
          <w:rFonts w:ascii="Helvetica" w:hAnsi="Helvetica"/>
          <w:sz w:val="19"/>
          <w:szCs w:val="19"/>
        </w:rPr>
        <w:t xml:space="preserve">Throughout the probationary period you must be able to show that you have taken reasonable steps to support your employee in achieving success in their role. This includes frequent performance-based conversations, providing adequate training and support on new skills and tasks, discussing any areas for improvement and setting clear expectations of what ‘success’ looks like for their role. </w:t>
      </w:r>
    </w:p>
    <w:p w14:paraId="7B1E0F45" w14:textId="77777777" w:rsidR="004C6294" w:rsidRDefault="004C6294" w:rsidP="00DC0606">
      <w:pPr>
        <w:pStyle w:val="BodyA"/>
        <w:spacing w:line="360" w:lineRule="auto"/>
        <w:rPr>
          <w:rFonts w:ascii="Helvetica" w:eastAsia="Helvetica" w:hAnsi="Helvetica" w:cs="Helvetica"/>
          <w:sz w:val="19"/>
          <w:szCs w:val="19"/>
        </w:rPr>
      </w:pPr>
    </w:p>
    <w:p w14:paraId="4B3CB9DC" w14:textId="77777777" w:rsidR="004C6294" w:rsidRDefault="005A7AE2" w:rsidP="00DC0606">
      <w:pPr>
        <w:pStyle w:val="BodyA"/>
        <w:spacing w:line="360" w:lineRule="auto"/>
        <w:rPr>
          <w:rFonts w:ascii="Helvetica" w:eastAsia="Helvetica" w:hAnsi="Helvetica" w:cs="Helvetica"/>
          <w:sz w:val="19"/>
          <w:szCs w:val="19"/>
        </w:rPr>
      </w:pPr>
      <w:r>
        <w:rPr>
          <w:rFonts w:ascii="Helvetica" w:hAnsi="Helvetica"/>
          <w:sz w:val="19"/>
          <w:szCs w:val="19"/>
        </w:rPr>
        <w:t xml:space="preserve">Unlike a trial period, if you decide at the conclusion of the period to terminate the employment agreement, you must explain how you have fairly assessed your employee’s performance, why their performance was not sufficient for the role and your intention to end the employment relationship. </w:t>
      </w:r>
    </w:p>
    <w:p w14:paraId="73B3070F" w14:textId="77777777" w:rsidR="004C6294" w:rsidRDefault="004C6294" w:rsidP="00DC0606">
      <w:pPr>
        <w:pStyle w:val="BodyA"/>
        <w:spacing w:line="360" w:lineRule="auto"/>
        <w:rPr>
          <w:rFonts w:ascii="Helvetica" w:eastAsia="Helvetica" w:hAnsi="Helvetica" w:cs="Helvetica"/>
          <w:sz w:val="19"/>
          <w:szCs w:val="19"/>
        </w:rPr>
      </w:pPr>
    </w:p>
    <w:p w14:paraId="3622B7FF" w14:textId="77777777" w:rsidR="004C6294" w:rsidRDefault="005A7AE2" w:rsidP="00DC0606">
      <w:pPr>
        <w:pStyle w:val="BodyA"/>
        <w:spacing w:line="360" w:lineRule="auto"/>
        <w:rPr>
          <w:rFonts w:ascii="Helvetica" w:eastAsia="Helvetica" w:hAnsi="Helvetica" w:cs="Helvetica"/>
          <w:sz w:val="19"/>
          <w:szCs w:val="19"/>
        </w:rPr>
      </w:pPr>
      <w:r>
        <w:rPr>
          <w:rFonts w:ascii="Helvetica" w:hAnsi="Helvetica"/>
          <w:sz w:val="19"/>
          <w:szCs w:val="19"/>
        </w:rPr>
        <w:t xml:space="preserve">Your employee must then have sufficient time to respond. Any response must be considered before making a final decision to terminate the employment agreement. Unlike a trial period, your employee can still bring a claim for unjust dismissal if they feel you have not followed due procedure and come to a fair conclusion. </w:t>
      </w:r>
    </w:p>
    <w:p w14:paraId="6CF97A8A" w14:textId="77777777" w:rsidR="004C6294" w:rsidRDefault="004C6294" w:rsidP="00DC0606">
      <w:pPr>
        <w:pStyle w:val="BodyA"/>
        <w:spacing w:line="360" w:lineRule="auto"/>
        <w:rPr>
          <w:rFonts w:ascii="Helvetica" w:eastAsia="Helvetica" w:hAnsi="Helvetica" w:cs="Helvetica"/>
          <w:sz w:val="19"/>
          <w:szCs w:val="19"/>
        </w:rPr>
      </w:pPr>
    </w:p>
    <w:p w14:paraId="39DEF638" w14:textId="77777777" w:rsidR="004C6294" w:rsidRDefault="005A7AE2" w:rsidP="00DC0606">
      <w:pPr>
        <w:pStyle w:val="BodyA"/>
        <w:spacing w:line="360" w:lineRule="auto"/>
        <w:rPr>
          <w:rFonts w:ascii="Helvetica" w:eastAsia="Helvetica" w:hAnsi="Helvetica" w:cs="Helvetica"/>
          <w:sz w:val="19"/>
          <w:szCs w:val="19"/>
        </w:rPr>
      </w:pPr>
      <w:r>
        <w:rPr>
          <w:rFonts w:ascii="Helvetica" w:hAnsi="Helvetica"/>
          <w:sz w:val="19"/>
          <w:szCs w:val="19"/>
        </w:rPr>
        <w:lastRenderedPageBreak/>
        <w:t xml:space="preserve">It is also critical to note that probation periods cannot follow after a trial period for the same or very similar role. If your employee moves multiple times within your business, on each subsequent role change you may be able to apply a new probation period.  </w:t>
      </w:r>
    </w:p>
    <w:p w14:paraId="3998A660" w14:textId="77777777" w:rsidR="004C6294" w:rsidRDefault="004C6294" w:rsidP="00DC0606">
      <w:pPr>
        <w:pStyle w:val="BodyA"/>
        <w:spacing w:line="360" w:lineRule="auto"/>
        <w:rPr>
          <w:rFonts w:ascii="Helvetica" w:eastAsia="Helvetica" w:hAnsi="Helvetica" w:cs="Helvetica"/>
          <w:sz w:val="19"/>
          <w:szCs w:val="19"/>
        </w:rPr>
      </w:pPr>
    </w:p>
    <w:p w14:paraId="30337729" w14:textId="77777777" w:rsidR="004C6294" w:rsidRDefault="005A7AE2" w:rsidP="00DC0606">
      <w:pPr>
        <w:pStyle w:val="BodyA"/>
        <w:spacing w:line="360" w:lineRule="auto"/>
        <w:rPr>
          <w:rFonts w:ascii="Helvetica" w:eastAsia="Helvetica" w:hAnsi="Helvetica" w:cs="Helvetica"/>
        </w:rPr>
      </w:pPr>
      <w:r>
        <w:rPr>
          <w:rFonts w:ascii="Helvetica" w:hAnsi="Helvetica"/>
          <w:sz w:val="19"/>
          <w:szCs w:val="19"/>
        </w:rPr>
        <w:t xml:space="preserve">Regardless of whether you are considering a trial period or probation period, it is important you talk with us before incorporating it into your employment agreements. To be effective and defensible against a personal grievance, both trial periods and probation periods must be documented correctly throughout the period’s lifecycle, from the employment agreement pre-commencement all the way through to the end of the period. Please don’t hesitate to contact us if you are considering a trial or probation period for any of your employees. </w:t>
      </w:r>
    </w:p>
    <w:p w14:paraId="416F21E8" w14:textId="77777777" w:rsidR="004C6294" w:rsidRDefault="004C6294" w:rsidP="00DC0606">
      <w:pPr>
        <w:pStyle w:val="BodyA"/>
        <w:spacing w:line="360" w:lineRule="auto"/>
        <w:rPr>
          <w:rFonts w:ascii="Helvetica" w:eastAsia="Helvetica" w:hAnsi="Helvetica" w:cs="Helvetica"/>
          <w:sz w:val="19"/>
          <w:szCs w:val="19"/>
        </w:rPr>
      </w:pPr>
    </w:p>
    <w:p w14:paraId="5F749C18" w14:textId="77777777" w:rsidR="004C6294" w:rsidRDefault="004C6294" w:rsidP="00DC0606">
      <w:pPr>
        <w:pStyle w:val="Title"/>
        <w:spacing w:line="360" w:lineRule="auto"/>
        <w:rPr>
          <w:rFonts w:ascii="Helvetica" w:eastAsia="Helvetica" w:hAnsi="Helvetica" w:cs="Helvetica"/>
        </w:rPr>
      </w:pPr>
    </w:p>
    <w:p w14:paraId="0FCC3B9F" w14:textId="77777777" w:rsidR="00B204E6" w:rsidRDefault="00B204E6">
      <w:pPr>
        <w:rPr>
          <w:rFonts w:ascii="Helvetica" w:hAnsi="Helvetica" w:cs="Arial Unicode MS"/>
          <w:b/>
          <w:bCs/>
          <w:color w:val="000000"/>
          <w:sz w:val="32"/>
          <w:szCs w:val="32"/>
          <w:u w:color="000000"/>
          <w14:textOutline w14:w="12700" w14:cap="flat" w14:cmpd="sng" w14:algn="ctr">
            <w14:noFill/>
            <w14:prstDash w14:val="solid"/>
            <w14:miter w14:lim="400000"/>
          </w14:textOutline>
        </w:rPr>
      </w:pPr>
      <w:r>
        <w:rPr>
          <w:rFonts w:ascii="Helvetica" w:hAnsi="Helvetica"/>
          <w:sz w:val="32"/>
          <w:szCs w:val="32"/>
        </w:rPr>
        <w:br w:type="page"/>
      </w:r>
    </w:p>
    <w:p w14:paraId="17952441" w14:textId="600DE30C" w:rsidR="004C6294" w:rsidRPr="00B204E6" w:rsidRDefault="005A7AE2" w:rsidP="00DC0606">
      <w:pPr>
        <w:pStyle w:val="Title"/>
        <w:spacing w:line="360" w:lineRule="auto"/>
        <w:rPr>
          <w:rFonts w:ascii="Helvetica" w:eastAsia="Helvetica" w:hAnsi="Helvetica" w:cs="Helvetica"/>
          <w:sz w:val="32"/>
          <w:szCs w:val="32"/>
        </w:rPr>
      </w:pPr>
      <w:r w:rsidRPr="00B204E6">
        <w:rPr>
          <w:rFonts w:ascii="Helvetica" w:hAnsi="Helvetica"/>
          <w:sz w:val="32"/>
          <w:szCs w:val="32"/>
        </w:rPr>
        <w:lastRenderedPageBreak/>
        <w:t>Whakaari/White Island eruption</w:t>
      </w:r>
    </w:p>
    <w:p w14:paraId="46118DD7" w14:textId="77777777" w:rsidR="004C6294" w:rsidRPr="00B204E6" w:rsidRDefault="005A7AE2" w:rsidP="00DC0606">
      <w:pPr>
        <w:pStyle w:val="Heading2"/>
        <w:spacing w:line="360" w:lineRule="auto"/>
        <w:rPr>
          <w:rFonts w:ascii="Helvetica" w:eastAsia="Helvetica" w:hAnsi="Helvetica" w:cs="Helvetica"/>
          <w:sz w:val="24"/>
          <w:szCs w:val="24"/>
        </w:rPr>
      </w:pPr>
      <w:r w:rsidRPr="00B204E6">
        <w:rPr>
          <w:rFonts w:ascii="Helvetica" w:hAnsi="Helvetica"/>
          <w:sz w:val="24"/>
          <w:szCs w:val="24"/>
        </w:rPr>
        <w:t>Health and safety lessons</w:t>
      </w:r>
    </w:p>
    <w:p w14:paraId="2A7B5BCE" w14:textId="77777777" w:rsidR="004C6294" w:rsidRDefault="005A7AE2" w:rsidP="00DC0606">
      <w:pPr>
        <w:pStyle w:val="BodyA"/>
        <w:spacing w:line="360" w:lineRule="auto"/>
        <w:rPr>
          <w:rFonts w:ascii="Helvetica" w:eastAsia="Helvetica" w:hAnsi="Helvetica" w:cs="Helvetica"/>
          <w:sz w:val="19"/>
          <w:szCs w:val="19"/>
        </w:rPr>
      </w:pPr>
      <w:r>
        <w:rPr>
          <w:rFonts w:ascii="Helvetica" w:hAnsi="Helvetica"/>
          <w:sz w:val="19"/>
          <w:szCs w:val="19"/>
        </w:rPr>
        <w:t>The eruption of Whakaari/White Island on 9 December 2019 was a tragedy. Of the 47 people on the island when it erupted, 22 people were killed. The other 25 people were severely injured, many with life-changing injuries. The last of the prosecutions brought by WorkSafe due to the eruption concluded on 31 October 2023. We look at the lessons landowners and company directors can learn from these prosecutions.</w:t>
      </w:r>
    </w:p>
    <w:p w14:paraId="597DBA7D" w14:textId="77777777" w:rsidR="004C6294" w:rsidRDefault="004C6294" w:rsidP="00DC0606">
      <w:pPr>
        <w:pStyle w:val="BodyA"/>
        <w:spacing w:line="360" w:lineRule="auto"/>
        <w:rPr>
          <w:rFonts w:ascii="Helvetica" w:eastAsia="Helvetica" w:hAnsi="Helvetica" w:cs="Helvetica"/>
          <w:sz w:val="19"/>
          <w:szCs w:val="19"/>
        </w:rPr>
      </w:pPr>
    </w:p>
    <w:p w14:paraId="47682048" w14:textId="77777777" w:rsidR="004C6294" w:rsidRDefault="005A7AE2" w:rsidP="00DC0606">
      <w:pPr>
        <w:pStyle w:val="BodyA"/>
        <w:spacing w:line="360" w:lineRule="auto"/>
        <w:rPr>
          <w:rFonts w:ascii="Helvetica" w:eastAsia="Helvetica" w:hAnsi="Helvetica" w:cs="Helvetica"/>
          <w:sz w:val="19"/>
          <w:szCs w:val="19"/>
        </w:rPr>
      </w:pPr>
      <w:r>
        <w:rPr>
          <w:rFonts w:ascii="Helvetica" w:hAnsi="Helvetica"/>
          <w:sz w:val="19"/>
          <w:szCs w:val="19"/>
        </w:rPr>
        <w:t>After the eruption, WorkSafe brought charges against 13 parties under the Health and Safety at Work Act 2015. These included charges against tourism operators, two government agencies responsible for advising on volcanic risks and the landowners. The charges against the landowners are the most legally significant.</w:t>
      </w:r>
    </w:p>
    <w:p w14:paraId="00AB3FF4" w14:textId="77777777" w:rsidR="004C6294" w:rsidRDefault="004C6294" w:rsidP="00DC0606">
      <w:pPr>
        <w:pStyle w:val="BodyA"/>
        <w:spacing w:line="360" w:lineRule="auto"/>
        <w:rPr>
          <w:rFonts w:ascii="Helvetica" w:eastAsia="Helvetica" w:hAnsi="Helvetica" w:cs="Helvetica"/>
          <w:sz w:val="19"/>
          <w:szCs w:val="19"/>
        </w:rPr>
      </w:pPr>
    </w:p>
    <w:p w14:paraId="44C1264B" w14:textId="77777777" w:rsidR="004C6294" w:rsidRPr="00B204E6" w:rsidRDefault="005A7AE2" w:rsidP="00DC0606">
      <w:pPr>
        <w:pStyle w:val="Heading2"/>
        <w:spacing w:line="360" w:lineRule="auto"/>
        <w:rPr>
          <w:sz w:val="24"/>
          <w:szCs w:val="24"/>
        </w:rPr>
      </w:pPr>
      <w:r w:rsidRPr="00B204E6">
        <w:rPr>
          <w:sz w:val="24"/>
          <w:szCs w:val="24"/>
        </w:rPr>
        <w:t>Whakaari Management Limited</w:t>
      </w:r>
    </w:p>
    <w:p w14:paraId="40E6DCFF" w14:textId="77777777" w:rsidR="004C6294" w:rsidRDefault="005A7AE2" w:rsidP="00DC0606">
      <w:pPr>
        <w:pStyle w:val="BodyA"/>
        <w:spacing w:line="360" w:lineRule="auto"/>
        <w:rPr>
          <w:rFonts w:ascii="Helvetica" w:eastAsia="Helvetica" w:hAnsi="Helvetica" w:cs="Helvetica"/>
          <w:sz w:val="19"/>
          <w:szCs w:val="19"/>
        </w:rPr>
      </w:pPr>
      <w:r>
        <w:rPr>
          <w:rFonts w:ascii="Helvetica" w:hAnsi="Helvetica"/>
          <w:sz w:val="19"/>
          <w:szCs w:val="19"/>
        </w:rPr>
        <w:t>Whakaari/White Island has been in the Buttle family since 1936. The family currently owns it through the Whakaari Trust; the trust leased the land to Whakaari Management Ltd (WML). The directors of WML are three members of the Buttle family. WML used to contract with tourism operators to allow them to conduct tours on the island. WML had no presence on the island and its staff did not work there.</w:t>
      </w:r>
    </w:p>
    <w:p w14:paraId="73B8E818" w14:textId="77777777" w:rsidR="004C6294" w:rsidRDefault="004C6294" w:rsidP="00DC0606">
      <w:pPr>
        <w:pStyle w:val="BodyA"/>
        <w:spacing w:line="360" w:lineRule="auto"/>
        <w:rPr>
          <w:rFonts w:ascii="Helvetica" w:eastAsia="Helvetica" w:hAnsi="Helvetica" w:cs="Helvetica"/>
          <w:sz w:val="19"/>
          <w:szCs w:val="19"/>
        </w:rPr>
      </w:pPr>
    </w:p>
    <w:p w14:paraId="17ACC92C" w14:textId="77777777" w:rsidR="004C6294" w:rsidRPr="00B204E6" w:rsidRDefault="005A7AE2" w:rsidP="00DC0606">
      <w:pPr>
        <w:pStyle w:val="Heading2"/>
        <w:spacing w:line="360" w:lineRule="auto"/>
        <w:rPr>
          <w:sz w:val="24"/>
          <w:szCs w:val="24"/>
        </w:rPr>
      </w:pPr>
      <w:r w:rsidRPr="00B204E6">
        <w:rPr>
          <w:sz w:val="24"/>
          <w:szCs w:val="24"/>
        </w:rPr>
        <w:t>Charges brought against WML and its directors</w:t>
      </w:r>
    </w:p>
    <w:p w14:paraId="5AAE5867" w14:textId="77777777" w:rsidR="004C6294" w:rsidRDefault="005A7AE2" w:rsidP="00DC0606">
      <w:pPr>
        <w:pStyle w:val="BodyA"/>
        <w:spacing w:line="360" w:lineRule="auto"/>
        <w:rPr>
          <w:rFonts w:ascii="Helvetica" w:eastAsia="Helvetica" w:hAnsi="Helvetica" w:cs="Helvetica"/>
          <w:sz w:val="19"/>
          <w:szCs w:val="19"/>
        </w:rPr>
      </w:pPr>
      <w:r>
        <w:rPr>
          <w:rFonts w:ascii="Helvetica" w:hAnsi="Helvetica"/>
          <w:sz w:val="19"/>
          <w:szCs w:val="19"/>
        </w:rPr>
        <w:t>WorkSafe charged WML under sections 36 and 37 of the Act. Section 36 requires employers to ensure that, as far as is reasonably practicable, the health and safety of their employees. Section 37 requires an employer to take all reasonably practicable steps to ensure the safety of anyone who enters a workplace controlled by the employer, whether they work for the employer or not.</w:t>
      </w:r>
    </w:p>
    <w:p w14:paraId="6D8242D4" w14:textId="77777777" w:rsidR="004C6294" w:rsidRDefault="004C6294" w:rsidP="00DC0606">
      <w:pPr>
        <w:pStyle w:val="BodyA"/>
        <w:spacing w:line="360" w:lineRule="auto"/>
        <w:rPr>
          <w:rFonts w:ascii="Helvetica" w:eastAsia="Helvetica" w:hAnsi="Helvetica" w:cs="Helvetica"/>
          <w:sz w:val="19"/>
          <w:szCs w:val="19"/>
        </w:rPr>
      </w:pPr>
    </w:p>
    <w:p w14:paraId="394AAFEF" w14:textId="77777777" w:rsidR="004C6294" w:rsidRDefault="005A7AE2" w:rsidP="00DC0606">
      <w:pPr>
        <w:pStyle w:val="BodyA"/>
        <w:spacing w:line="360" w:lineRule="auto"/>
        <w:rPr>
          <w:rFonts w:ascii="Helvetica" w:eastAsia="Helvetica" w:hAnsi="Helvetica" w:cs="Helvetica"/>
          <w:sz w:val="19"/>
          <w:szCs w:val="19"/>
        </w:rPr>
      </w:pPr>
      <w:r>
        <w:rPr>
          <w:rFonts w:ascii="Helvetica" w:hAnsi="Helvetica"/>
          <w:sz w:val="19"/>
          <w:szCs w:val="19"/>
        </w:rPr>
        <w:t>WorkSafe also charged WML’s directors under section 44. Where an employer is a company, section 44 requires directors to take reasonable steps to ensure that their company complies with its obligations under the Act.</w:t>
      </w:r>
    </w:p>
    <w:p w14:paraId="014C337A" w14:textId="77777777" w:rsidR="004C6294" w:rsidRDefault="004C6294" w:rsidP="00DC0606">
      <w:pPr>
        <w:pStyle w:val="BodyA"/>
        <w:spacing w:line="360" w:lineRule="auto"/>
        <w:rPr>
          <w:rFonts w:ascii="Helvetica" w:eastAsia="Helvetica" w:hAnsi="Helvetica" w:cs="Helvetica"/>
          <w:sz w:val="19"/>
          <w:szCs w:val="19"/>
        </w:rPr>
      </w:pPr>
    </w:p>
    <w:p w14:paraId="635F8604" w14:textId="77777777" w:rsidR="004C6294" w:rsidRPr="00B204E6" w:rsidRDefault="005A7AE2" w:rsidP="00DC0606">
      <w:pPr>
        <w:pStyle w:val="Heading2"/>
        <w:spacing w:line="360" w:lineRule="auto"/>
        <w:rPr>
          <w:sz w:val="24"/>
          <w:szCs w:val="24"/>
        </w:rPr>
      </w:pPr>
      <w:r w:rsidRPr="00B204E6">
        <w:rPr>
          <w:sz w:val="24"/>
          <w:szCs w:val="24"/>
        </w:rPr>
        <w:t>The court’s decisions</w:t>
      </w:r>
      <w:r w:rsidRPr="00B204E6">
        <w:rPr>
          <w:rFonts w:eastAsia="Helvetica Neue" w:cs="Helvetica Neue"/>
          <w:sz w:val="24"/>
          <w:szCs w:val="24"/>
          <w:vertAlign w:val="superscript"/>
        </w:rPr>
        <w:footnoteReference w:id="2"/>
      </w:r>
    </w:p>
    <w:p w14:paraId="52E76E84" w14:textId="77777777" w:rsidR="004C6294" w:rsidRDefault="005A7AE2" w:rsidP="00DC0606">
      <w:pPr>
        <w:pStyle w:val="BodyA"/>
        <w:spacing w:line="360" w:lineRule="auto"/>
        <w:rPr>
          <w:rFonts w:ascii="Helvetica" w:eastAsia="Helvetica" w:hAnsi="Helvetica" w:cs="Helvetica"/>
          <w:sz w:val="19"/>
          <w:szCs w:val="19"/>
        </w:rPr>
      </w:pPr>
      <w:r>
        <w:rPr>
          <w:rFonts w:ascii="Helvetica" w:hAnsi="Helvetica"/>
          <w:sz w:val="19"/>
          <w:szCs w:val="19"/>
        </w:rPr>
        <w:t>The charge against WML under section 36 was dismissed. The court held that section 36 only applied to the employer’s business activities, and WML did not carry out its business on the island. Section 36 will generally only apply to an employer’s premises or anywhere else its staff are working.</w:t>
      </w:r>
    </w:p>
    <w:p w14:paraId="1387A163" w14:textId="77777777" w:rsidR="004C6294" w:rsidRDefault="004C6294" w:rsidP="00DC0606">
      <w:pPr>
        <w:pStyle w:val="BodyA"/>
        <w:spacing w:line="360" w:lineRule="auto"/>
        <w:rPr>
          <w:rFonts w:ascii="Helvetica" w:eastAsia="Helvetica" w:hAnsi="Helvetica" w:cs="Helvetica"/>
          <w:sz w:val="19"/>
          <w:szCs w:val="19"/>
        </w:rPr>
      </w:pPr>
    </w:p>
    <w:p w14:paraId="554707DD" w14:textId="77777777" w:rsidR="004C6294" w:rsidRDefault="005A7AE2" w:rsidP="00DC0606">
      <w:pPr>
        <w:pStyle w:val="BodyA"/>
        <w:spacing w:line="360" w:lineRule="auto"/>
        <w:rPr>
          <w:rFonts w:ascii="Helvetica" w:eastAsia="Helvetica" w:hAnsi="Helvetica" w:cs="Helvetica"/>
          <w:sz w:val="19"/>
          <w:szCs w:val="19"/>
        </w:rPr>
      </w:pPr>
      <w:r>
        <w:rPr>
          <w:rFonts w:ascii="Helvetica" w:hAnsi="Helvetica"/>
          <w:sz w:val="19"/>
          <w:szCs w:val="19"/>
        </w:rPr>
        <w:t>WML was convicted</w:t>
      </w:r>
      <w:r>
        <w:rPr>
          <w:rFonts w:ascii="Helvetica" w:eastAsia="Helvetica" w:hAnsi="Helvetica" w:cs="Helvetica"/>
          <w:sz w:val="19"/>
          <w:szCs w:val="19"/>
          <w:vertAlign w:val="superscript"/>
        </w:rPr>
        <w:footnoteReference w:id="3"/>
      </w:r>
      <w:r>
        <w:rPr>
          <w:rFonts w:ascii="Helvetica" w:hAnsi="Helvetica"/>
          <w:sz w:val="19"/>
          <w:szCs w:val="19"/>
        </w:rPr>
        <w:t xml:space="preserve"> under section 37 because Whakaari was a workplace that it controlled, and it had failed to obtain expert advice on the risk posed to visitors by a volcanic eruption. The court found that WML could exercise control over the activities of tour operators on the island and that it had been involved in managing their activities in the past as it had actively engaged with the tour operators regarding their operations. WML could also control the workplace by terminating, or threatening to terminate, its agreements with tourism operators that allowed them to access the island.</w:t>
      </w:r>
    </w:p>
    <w:p w14:paraId="6CE2E484" w14:textId="77777777" w:rsidR="004C6294" w:rsidRDefault="004C6294" w:rsidP="00DC0606">
      <w:pPr>
        <w:pStyle w:val="BodyA"/>
        <w:spacing w:line="360" w:lineRule="auto"/>
        <w:rPr>
          <w:rFonts w:ascii="Helvetica" w:eastAsia="Helvetica" w:hAnsi="Helvetica" w:cs="Helvetica"/>
          <w:sz w:val="19"/>
          <w:szCs w:val="19"/>
        </w:rPr>
      </w:pPr>
    </w:p>
    <w:p w14:paraId="576597A9" w14:textId="77777777" w:rsidR="004C6294" w:rsidRPr="00B204E6" w:rsidRDefault="005A7AE2" w:rsidP="00DC0606">
      <w:pPr>
        <w:pStyle w:val="Heading2"/>
        <w:spacing w:line="360" w:lineRule="auto"/>
        <w:rPr>
          <w:sz w:val="24"/>
          <w:szCs w:val="24"/>
        </w:rPr>
      </w:pPr>
      <w:r w:rsidRPr="00B204E6">
        <w:rPr>
          <w:sz w:val="24"/>
          <w:szCs w:val="24"/>
        </w:rPr>
        <w:lastRenderedPageBreak/>
        <w:t>Implications for landowners</w:t>
      </w:r>
    </w:p>
    <w:p w14:paraId="6F780409" w14:textId="77777777" w:rsidR="004C6294" w:rsidRDefault="005A7AE2" w:rsidP="00DC0606">
      <w:pPr>
        <w:pStyle w:val="BodyA"/>
        <w:spacing w:line="360" w:lineRule="auto"/>
        <w:rPr>
          <w:rFonts w:ascii="Helvetica" w:eastAsia="Helvetica" w:hAnsi="Helvetica" w:cs="Helvetica"/>
          <w:sz w:val="19"/>
          <w:szCs w:val="19"/>
        </w:rPr>
      </w:pPr>
      <w:r>
        <w:rPr>
          <w:rFonts w:ascii="Helvetica" w:hAnsi="Helvetica"/>
          <w:sz w:val="19"/>
          <w:szCs w:val="19"/>
        </w:rPr>
        <w:t>If you are a landowner and allow other parties access to your property for commercial purposes, you may have health and safety obligations as WML did on Whakaari. Section 37 will not usually apply if you operate solely as a landlord because a landlord will not usually have sufficient control to meet the section 37 requirements. Section 37 also contains a specific exemption to prevent the section from applying to farmers who allow people onto their farms for purely recreational purposes such as walking or hunting.</w:t>
      </w:r>
    </w:p>
    <w:p w14:paraId="6A3FBEB5" w14:textId="77777777" w:rsidR="004C6294" w:rsidRDefault="004C6294" w:rsidP="00DC0606">
      <w:pPr>
        <w:pStyle w:val="BodyA"/>
        <w:spacing w:line="360" w:lineRule="auto"/>
        <w:rPr>
          <w:rFonts w:ascii="Helvetica" w:eastAsia="Helvetica" w:hAnsi="Helvetica" w:cs="Helvetica"/>
          <w:sz w:val="19"/>
          <w:szCs w:val="19"/>
        </w:rPr>
      </w:pPr>
    </w:p>
    <w:p w14:paraId="2A84261C" w14:textId="77777777" w:rsidR="004C6294" w:rsidRDefault="005A7AE2" w:rsidP="00DC0606">
      <w:pPr>
        <w:pStyle w:val="BodyA"/>
        <w:spacing w:line="360" w:lineRule="auto"/>
        <w:rPr>
          <w:rFonts w:ascii="Helvetica" w:eastAsia="Helvetica" w:hAnsi="Helvetica" w:cs="Helvetica"/>
          <w:sz w:val="19"/>
          <w:szCs w:val="19"/>
        </w:rPr>
      </w:pPr>
      <w:r>
        <w:rPr>
          <w:rFonts w:ascii="Helvetica" w:hAnsi="Helvetica"/>
          <w:sz w:val="19"/>
          <w:szCs w:val="19"/>
        </w:rPr>
        <w:t>The charges against the directors of WML under section 44 were dismissed, despite WML being convicted under section 37. The court held that it could not conclude that any directors had breached their personal duty under section 44 based on the company’s failure to meet its obligations as it had no information about how the directors had made their decisions. For example, one director could have argued that WML should</w:t>
      </w:r>
    </w:p>
    <w:p w14:paraId="2AB6B96B" w14:textId="77777777" w:rsidR="004C6294" w:rsidRDefault="005A7AE2" w:rsidP="00DC0606">
      <w:pPr>
        <w:pStyle w:val="BodyA"/>
        <w:spacing w:line="360" w:lineRule="auto"/>
        <w:rPr>
          <w:rFonts w:ascii="Helvetica" w:eastAsia="Helvetica" w:hAnsi="Helvetica" w:cs="Helvetica"/>
          <w:sz w:val="19"/>
          <w:szCs w:val="19"/>
        </w:rPr>
      </w:pPr>
      <w:r>
        <w:rPr>
          <w:rFonts w:ascii="Helvetica" w:hAnsi="Helvetica"/>
          <w:sz w:val="19"/>
          <w:szCs w:val="19"/>
        </w:rPr>
        <w:t>have sought expert advice on the risk of volcanic eruption but was outvoted by the remaining two directors.</w:t>
      </w:r>
    </w:p>
    <w:p w14:paraId="3EF40F05" w14:textId="77777777" w:rsidR="004C6294" w:rsidRDefault="004C6294" w:rsidP="00DC0606">
      <w:pPr>
        <w:pStyle w:val="BodyA"/>
        <w:spacing w:line="360" w:lineRule="auto"/>
        <w:rPr>
          <w:rFonts w:ascii="Helvetica" w:eastAsia="Helvetica" w:hAnsi="Helvetica" w:cs="Helvetica"/>
          <w:sz w:val="19"/>
          <w:szCs w:val="19"/>
        </w:rPr>
      </w:pPr>
    </w:p>
    <w:p w14:paraId="33F101CB" w14:textId="77777777" w:rsidR="004C6294" w:rsidRPr="00B204E6" w:rsidRDefault="005A7AE2" w:rsidP="00DC0606">
      <w:pPr>
        <w:pStyle w:val="Heading2"/>
        <w:spacing w:line="360" w:lineRule="auto"/>
        <w:rPr>
          <w:sz w:val="24"/>
          <w:szCs w:val="24"/>
        </w:rPr>
      </w:pPr>
      <w:r w:rsidRPr="00B204E6">
        <w:rPr>
          <w:sz w:val="24"/>
          <w:szCs w:val="24"/>
        </w:rPr>
        <w:t>What directors need to do</w:t>
      </w:r>
    </w:p>
    <w:p w14:paraId="3FDE8D75" w14:textId="77777777" w:rsidR="004C6294" w:rsidRDefault="005A7AE2" w:rsidP="00DC0606">
      <w:pPr>
        <w:pStyle w:val="BodyA"/>
        <w:spacing w:line="360" w:lineRule="auto"/>
        <w:rPr>
          <w:rFonts w:ascii="Helvetica" w:eastAsia="Helvetica" w:hAnsi="Helvetica" w:cs="Helvetica"/>
          <w:sz w:val="19"/>
          <w:szCs w:val="19"/>
        </w:rPr>
      </w:pPr>
      <w:r>
        <w:rPr>
          <w:rFonts w:ascii="Helvetica" w:hAnsi="Helvetica"/>
          <w:sz w:val="19"/>
          <w:szCs w:val="19"/>
        </w:rPr>
        <w:t>Following the Whakaari/White Island decision, WorkSafe will likely seek full disclosure of all board documents before bringing similar future prosecutions.</w:t>
      </w:r>
    </w:p>
    <w:p w14:paraId="57E58AA2" w14:textId="77777777" w:rsidR="004C6294" w:rsidRDefault="004C6294" w:rsidP="00DC0606">
      <w:pPr>
        <w:pStyle w:val="BodyA"/>
        <w:spacing w:line="360" w:lineRule="auto"/>
        <w:rPr>
          <w:rFonts w:ascii="Helvetica" w:eastAsia="Helvetica" w:hAnsi="Helvetica" w:cs="Helvetica"/>
          <w:sz w:val="19"/>
          <w:szCs w:val="19"/>
        </w:rPr>
      </w:pPr>
    </w:p>
    <w:p w14:paraId="1C044D7C" w14:textId="77777777" w:rsidR="004C6294" w:rsidRDefault="005A7AE2" w:rsidP="00DC0606">
      <w:pPr>
        <w:pStyle w:val="BodyA"/>
        <w:spacing w:line="360" w:lineRule="auto"/>
        <w:rPr>
          <w:rFonts w:ascii="Helvetica" w:eastAsia="Helvetica" w:hAnsi="Helvetica" w:cs="Helvetica"/>
          <w:sz w:val="19"/>
          <w:szCs w:val="19"/>
        </w:rPr>
      </w:pPr>
      <w:r>
        <w:rPr>
          <w:rFonts w:ascii="Helvetica" w:hAnsi="Helvetica"/>
          <w:sz w:val="19"/>
          <w:szCs w:val="19"/>
        </w:rPr>
        <w:t>To avoid any potential criminal liability, any company director who is uncomfortable with their fellow directors’ stance on a health and safety matter should ensure that their dissenting view is recorded.</w:t>
      </w:r>
    </w:p>
    <w:p w14:paraId="6C1D3F59" w14:textId="77777777" w:rsidR="004C6294" w:rsidRDefault="004C6294" w:rsidP="00DC0606">
      <w:pPr>
        <w:pStyle w:val="BodyA"/>
        <w:spacing w:line="360" w:lineRule="auto"/>
        <w:rPr>
          <w:rFonts w:ascii="Helvetica" w:eastAsia="Helvetica" w:hAnsi="Helvetica" w:cs="Helvetica"/>
          <w:sz w:val="19"/>
          <w:szCs w:val="19"/>
        </w:rPr>
      </w:pPr>
    </w:p>
    <w:p w14:paraId="3914271A" w14:textId="77777777" w:rsidR="004C6294" w:rsidRDefault="005A7AE2" w:rsidP="00DC0606">
      <w:pPr>
        <w:pStyle w:val="BodyA"/>
        <w:spacing w:line="360" w:lineRule="auto"/>
        <w:rPr>
          <w:rFonts w:ascii="Helvetica" w:eastAsia="Helvetica" w:hAnsi="Helvetica" w:cs="Helvetica"/>
          <w:sz w:val="19"/>
          <w:szCs w:val="19"/>
        </w:rPr>
      </w:pPr>
      <w:r>
        <w:rPr>
          <w:rFonts w:ascii="Helvetica" w:hAnsi="Helvetica"/>
          <w:sz w:val="19"/>
          <w:szCs w:val="19"/>
        </w:rPr>
        <w:t xml:space="preserve">As a company director, if you are concerned about any decisions that your board proposes to make, or has made, about a health and safety matter, it would be useful to talk with us to clarify your position. </w:t>
      </w:r>
    </w:p>
    <w:p w14:paraId="552CEE54" w14:textId="77777777" w:rsidR="004C6294" w:rsidRDefault="004C6294" w:rsidP="00DC0606">
      <w:pPr>
        <w:pStyle w:val="BodyA"/>
        <w:spacing w:line="360" w:lineRule="auto"/>
        <w:rPr>
          <w:rFonts w:ascii="Helvetica" w:eastAsia="Helvetica" w:hAnsi="Helvetica" w:cs="Helvetica"/>
          <w:sz w:val="19"/>
          <w:szCs w:val="19"/>
        </w:rPr>
      </w:pPr>
    </w:p>
    <w:p w14:paraId="37BFFD35" w14:textId="77777777" w:rsidR="004C6294" w:rsidRDefault="004C6294" w:rsidP="00DC0606">
      <w:pPr>
        <w:pStyle w:val="BodyA"/>
        <w:spacing w:line="360" w:lineRule="auto"/>
        <w:rPr>
          <w:rFonts w:ascii="Helvetica" w:eastAsia="Helvetica" w:hAnsi="Helvetica" w:cs="Helvetica"/>
          <w:sz w:val="19"/>
          <w:szCs w:val="19"/>
        </w:rPr>
      </w:pPr>
    </w:p>
    <w:p w14:paraId="5B61BB49" w14:textId="77777777" w:rsidR="004C6294" w:rsidRDefault="004C6294" w:rsidP="00DC0606">
      <w:pPr>
        <w:pStyle w:val="BodyA"/>
        <w:spacing w:line="360" w:lineRule="auto"/>
        <w:rPr>
          <w:rFonts w:ascii="Helvetica" w:eastAsia="Helvetica" w:hAnsi="Helvetica" w:cs="Helvetica"/>
          <w:sz w:val="19"/>
          <w:szCs w:val="19"/>
        </w:rPr>
      </w:pPr>
    </w:p>
    <w:p w14:paraId="4F5AC1FA" w14:textId="77777777" w:rsidR="004C6294" w:rsidRDefault="004C6294" w:rsidP="00DC0606">
      <w:pPr>
        <w:pStyle w:val="BodyA"/>
        <w:spacing w:line="360" w:lineRule="auto"/>
        <w:rPr>
          <w:rFonts w:ascii="Helvetica" w:eastAsia="Helvetica" w:hAnsi="Helvetica" w:cs="Helvetica"/>
          <w:sz w:val="19"/>
          <w:szCs w:val="19"/>
        </w:rPr>
      </w:pPr>
    </w:p>
    <w:p w14:paraId="67D06138" w14:textId="77777777" w:rsidR="004C6294" w:rsidRDefault="004C6294" w:rsidP="00DC0606">
      <w:pPr>
        <w:pStyle w:val="Title"/>
        <w:spacing w:line="360" w:lineRule="auto"/>
        <w:rPr>
          <w:rFonts w:ascii="Helvetica" w:eastAsia="Helvetica" w:hAnsi="Helvetica" w:cs="Helvetica"/>
        </w:rPr>
      </w:pPr>
    </w:p>
    <w:p w14:paraId="064AD604" w14:textId="77777777" w:rsidR="00B204E6" w:rsidRDefault="00B204E6">
      <w:pPr>
        <w:rPr>
          <w:rFonts w:ascii="Helvetica" w:hAnsi="Helvetica" w:cs="Arial Unicode MS"/>
          <w:b/>
          <w:bCs/>
          <w:color w:val="000000"/>
          <w:sz w:val="60"/>
          <w:szCs w:val="60"/>
          <w:u w:color="000000"/>
          <w14:textOutline w14:w="12700" w14:cap="flat" w14:cmpd="sng" w14:algn="ctr">
            <w14:noFill/>
            <w14:prstDash w14:val="solid"/>
            <w14:miter w14:lim="400000"/>
          </w14:textOutline>
        </w:rPr>
      </w:pPr>
      <w:r>
        <w:rPr>
          <w:rFonts w:ascii="Helvetica" w:hAnsi="Helvetica"/>
        </w:rPr>
        <w:br w:type="page"/>
      </w:r>
    </w:p>
    <w:p w14:paraId="402E9389" w14:textId="40D6AA2A" w:rsidR="004C6294" w:rsidRPr="00B204E6" w:rsidRDefault="005A7AE2" w:rsidP="00DC0606">
      <w:pPr>
        <w:pStyle w:val="Title"/>
        <w:spacing w:line="360" w:lineRule="auto"/>
        <w:rPr>
          <w:rFonts w:ascii="Helvetica" w:eastAsia="Helvetica" w:hAnsi="Helvetica" w:cs="Helvetica"/>
          <w:sz w:val="32"/>
          <w:szCs w:val="32"/>
        </w:rPr>
      </w:pPr>
      <w:r w:rsidRPr="00B204E6">
        <w:rPr>
          <w:rFonts w:ascii="Helvetica" w:hAnsi="Helvetica"/>
          <w:sz w:val="32"/>
          <w:szCs w:val="32"/>
        </w:rPr>
        <w:lastRenderedPageBreak/>
        <w:t>Business briefs</w:t>
      </w:r>
    </w:p>
    <w:p w14:paraId="55DEC1B7" w14:textId="77777777" w:rsidR="004C6294" w:rsidRDefault="004C6294" w:rsidP="00DC0606">
      <w:pPr>
        <w:pStyle w:val="BodyA"/>
        <w:spacing w:line="360" w:lineRule="auto"/>
        <w:rPr>
          <w:rFonts w:ascii="Helvetica" w:eastAsia="Helvetica" w:hAnsi="Helvetica" w:cs="Helvetica"/>
          <w:sz w:val="19"/>
          <w:szCs w:val="19"/>
        </w:rPr>
      </w:pPr>
    </w:p>
    <w:p w14:paraId="5DBA663D" w14:textId="77777777" w:rsidR="004C6294" w:rsidRPr="00B204E6" w:rsidRDefault="005A7AE2" w:rsidP="00DC0606">
      <w:pPr>
        <w:pStyle w:val="Heading2"/>
        <w:spacing w:line="360" w:lineRule="auto"/>
        <w:rPr>
          <w:rFonts w:ascii="Helvetica" w:eastAsia="Helvetica" w:hAnsi="Helvetica" w:cs="Helvetica"/>
          <w:sz w:val="24"/>
          <w:szCs w:val="24"/>
        </w:rPr>
      </w:pPr>
      <w:r w:rsidRPr="00B204E6">
        <w:rPr>
          <w:rFonts w:ascii="Helvetica" w:hAnsi="Helvetica"/>
          <w:sz w:val="24"/>
          <w:szCs w:val="24"/>
        </w:rPr>
        <w:t xml:space="preserve">Cartel conduct: New Zealand’s first ever criminal cartel prosecution </w:t>
      </w:r>
    </w:p>
    <w:p w14:paraId="52F12D6B" w14:textId="77777777" w:rsidR="004C6294" w:rsidRDefault="005A7AE2" w:rsidP="00DC0606">
      <w:pPr>
        <w:pStyle w:val="BodyA"/>
        <w:spacing w:line="360" w:lineRule="auto"/>
        <w:rPr>
          <w:rFonts w:ascii="Helvetica" w:eastAsia="Helvetica" w:hAnsi="Helvetica" w:cs="Helvetica"/>
          <w:sz w:val="19"/>
          <w:szCs w:val="19"/>
        </w:rPr>
      </w:pPr>
      <w:r>
        <w:rPr>
          <w:rFonts w:ascii="Helvetica" w:hAnsi="Helvetica"/>
          <w:sz w:val="19"/>
          <w:szCs w:val="19"/>
        </w:rPr>
        <w:t>The Commerce Commission recently filed criminal charges against two construction companies and their directors for alleged bid-rigging of publicly funded construction contracts. This is New Zealand’s first ever criminal prosecution for alleged cartel conduct under the Commerce Act 1986.</w:t>
      </w:r>
    </w:p>
    <w:p w14:paraId="096833FF" w14:textId="77777777" w:rsidR="004C6294" w:rsidRDefault="004C6294" w:rsidP="00DC0606">
      <w:pPr>
        <w:pStyle w:val="BodyA"/>
        <w:spacing w:line="360" w:lineRule="auto"/>
        <w:rPr>
          <w:rFonts w:ascii="Helvetica" w:eastAsia="Helvetica" w:hAnsi="Helvetica" w:cs="Helvetica"/>
          <w:sz w:val="19"/>
          <w:szCs w:val="19"/>
        </w:rPr>
      </w:pPr>
    </w:p>
    <w:p w14:paraId="7D9F741B" w14:textId="77777777" w:rsidR="004C6294" w:rsidRDefault="005A7AE2" w:rsidP="00DC0606">
      <w:pPr>
        <w:pStyle w:val="BodyA"/>
        <w:spacing w:line="360" w:lineRule="auto"/>
        <w:rPr>
          <w:rFonts w:ascii="Helvetica" w:eastAsia="Helvetica" w:hAnsi="Helvetica" w:cs="Helvetica"/>
          <w:sz w:val="19"/>
          <w:szCs w:val="19"/>
        </w:rPr>
      </w:pPr>
      <w:r>
        <w:rPr>
          <w:rFonts w:ascii="Helvetica" w:hAnsi="Helvetica"/>
          <w:sz w:val="19"/>
          <w:szCs w:val="19"/>
        </w:rPr>
        <w:t xml:space="preserve">Bid-rigging, or collusive tendering, occurs where some or all the bidders collude to pre-determine who will win the bid or tender. This is a form of cartel conduct that is prohibited by the Act. </w:t>
      </w:r>
    </w:p>
    <w:p w14:paraId="69363208" w14:textId="77777777" w:rsidR="004C6294" w:rsidRDefault="004C6294" w:rsidP="00DC0606">
      <w:pPr>
        <w:pStyle w:val="BodyA"/>
        <w:spacing w:line="360" w:lineRule="auto"/>
        <w:rPr>
          <w:rFonts w:ascii="Helvetica" w:eastAsia="Helvetica" w:hAnsi="Helvetica" w:cs="Helvetica"/>
          <w:sz w:val="19"/>
          <w:szCs w:val="19"/>
        </w:rPr>
      </w:pPr>
    </w:p>
    <w:p w14:paraId="5F2A5145" w14:textId="77777777" w:rsidR="004C6294" w:rsidRDefault="005A7AE2" w:rsidP="00DC0606">
      <w:pPr>
        <w:pStyle w:val="BodyA"/>
        <w:spacing w:line="360" w:lineRule="auto"/>
        <w:rPr>
          <w:rFonts w:ascii="Helvetica" w:eastAsia="Helvetica" w:hAnsi="Helvetica" w:cs="Helvetica"/>
          <w:sz w:val="19"/>
          <w:szCs w:val="19"/>
        </w:rPr>
      </w:pPr>
      <w:r>
        <w:rPr>
          <w:rFonts w:ascii="Helvetica" w:hAnsi="Helvetica"/>
          <w:sz w:val="19"/>
          <w:szCs w:val="19"/>
        </w:rPr>
        <w:t xml:space="preserve">The case is currently before the court so information is limited but, if found guilty, the companies and their directors could face serious penalties. Each company could be fined up to $10 million, three times their commercial gain from the cartel conduct or 10% of their turnover per year per breach. Each director could be imprisoned for up to seven years and/or fined up to $500,000. </w:t>
      </w:r>
    </w:p>
    <w:p w14:paraId="757CA146" w14:textId="77777777" w:rsidR="004C6294" w:rsidRDefault="004C6294" w:rsidP="00DC0606">
      <w:pPr>
        <w:pStyle w:val="BodyA"/>
        <w:spacing w:line="360" w:lineRule="auto"/>
        <w:rPr>
          <w:rFonts w:ascii="Helvetica" w:eastAsia="Helvetica" w:hAnsi="Helvetica" w:cs="Helvetica"/>
          <w:sz w:val="19"/>
          <w:szCs w:val="19"/>
        </w:rPr>
      </w:pPr>
    </w:p>
    <w:p w14:paraId="4943F922" w14:textId="77777777" w:rsidR="004C6294" w:rsidRDefault="005A7AE2" w:rsidP="00DC0606">
      <w:pPr>
        <w:pStyle w:val="BodyA"/>
        <w:spacing w:line="360" w:lineRule="auto"/>
        <w:rPr>
          <w:rFonts w:ascii="Helvetica" w:eastAsia="Helvetica" w:hAnsi="Helvetica" w:cs="Helvetica"/>
          <w:sz w:val="19"/>
          <w:szCs w:val="19"/>
        </w:rPr>
      </w:pPr>
      <w:r>
        <w:rPr>
          <w:rFonts w:ascii="Helvetica" w:hAnsi="Helvetica"/>
          <w:sz w:val="19"/>
          <w:szCs w:val="19"/>
        </w:rPr>
        <w:t>The Commission’s willingness to bring criminal proceedings for cartel conduct is a warning for all businesses to understand their obligations under the Act and have adequate processes to avoid engaging</w:t>
      </w:r>
    </w:p>
    <w:p w14:paraId="4FB96D2F" w14:textId="77777777" w:rsidR="004C6294" w:rsidRDefault="005A7AE2" w:rsidP="00DC0606">
      <w:pPr>
        <w:pStyle w:val="BodyA"/>
        <w:spacing w:line="360" w:lineRule="auto"/>
        <w:rPr>
          <w:rFonts w:ascii="Helvetica" w:eastAsia="Helvetica" w:hAnsi="Helvetica" w:cs="Helvetica"/>
          <w:sz w:val="19"/>
          <w:szCs w:val="19"/>
        </w:rPr>
      </w:pPr>
      <w:r>
        <w:rPr>
          <w:rFonts w:ascii="Helvetica" w:hAnsi="Helvetica"/>
          <w:sz w:val="19"/>
          <w:szCs w:val="19"/>
        </w:rPr>
        <w:t>in cartel conduct.</w:t>
      </w:r>
    </w:p>
    <w:p w14:paraId="179E8A21" w14:textId="77777777" w:rsidR="004C6294" w:rsidRDefault="004C6294" w:rsidP="00DC0606">
      <w:pPr>
        <w:pStyle w:val="BodyA"/>
        <w:spacing w:line="360" w:lineRule="auto"/>
        <w:rPr>
          <w:rFonts w:ascii="Helvetica" w:eastAsia="Helvetica" w:hAnsi="Helvetica" w:cs="Helvetica"/>
          <w:sz w:val="19"/>
          <w:szCs w:val="19"/>
        </w:rPr>
      </w:pPr>
    </w:p>
    <w:p w14:paraId="3825D69A" w14:textId="77777777" w:rsidR="004C6294" w:rsidRPr="00B204E6" w:rsidRDefault="005A7AE2" w:rsidP="00DC0606">
      <w:pPr>
        <w:pStyle w:val="Heading2"/>
        <w:spacing w:line="360" w:lineRule="auto"/>
        <w:rPr>
          <w:sz w:val="24"/>
          <w:szCs w:val="24"/>
        </w:rPr>
      </w:pPr>
      <w:r w:rsidRPr="00B204E6">
        <w:rPr>
          <w:sz w:val="24"/>
          <w:szCs w:val="24"/>
        </w:rPr>
        <w:t>New privacy rules for biometrics</w:t>
      </w:r>
    </w:p>
    <w:p w14:paraId="1EA697C8" w14:textId="77777777" w:rsidR="004C6294" w:rsidRDefault="005A7AE2" w:rsidP="00DC0606">
      <w:pPr>
        <w:pStyle w:val="BodyA"/>
        <w:spacing w:line="360" w:lineRule="auto"/>
        <w:rPr>
          <w:rFonts w:ascii="Helvetica" w:eastAsia="Helvetica" w:hAnsi="Helvetica" w:cs="Helvetica"/>
          <w:sz w:val="19"/>
          <w:szCs w:val="19"/>
        </w:rPr>
      </w:pPr>
      <w:r>
        <w:rPr>
          <w:rFonts w:ascii="Helvetica" w:hAnsi="Helvetica"/>
          <w:sz w:val="19"/>
          <w:szCs w:val="19"/>
        </w:rPr>
        <w:t xml:space="preserve">The Office of the Privacy Commissioner (OPC) has announced it will release a draft policy code early this year regulating the collection and use of biometric information. The code will have direct implications for any businesses dealing with biometric information. </w:t>
      </w:r>
    </w:p>
    <w:p w14:paraId="78199238" w14:textId="77777777" w:rsidR="004C6294" w:rsidRDefault="004C6294" w:rsidP="00DC0606">
      <w:pPr>
        <w:pStyle w:val="BodyA"/>
        <w:spacing w:line="360" w:lineRule="auto"/>
        <w:rPr>
          <w:rFonts w:ascii="Helvetica" w:eastAsia="Helvetica" w:hAnsi="Helvetica" w:cs="Helvetica"/>
          <w:sz w:val="19"/>
          <w:szCs w:val="19"/>
        </w:rPr>
      </w:pPr>
    </w:p>
    <w:p w14:paraId="080B61E3" w14:textId="77777777" w:rsidR="004C6294" w:rsidRDefault="005A7AE2" w:rsidP="00DC0606">
      <w:pPr>
        <w:pStyle w:val="BodyA"/>
        <w:spacing w:line="360" w:lineRule="auto"/>
        <w:rPr>
          <w:rFonts w:ascii="Helvetica" w:eastAsia="Helvetica" w:hAnsi="Helvetica" w:cs="Helvetica"/>
          <w:sz w:val="19"/>
          <w:szCs w:val="19"/>
        </w:rPr>
      </w:pPr>
      <w:r>
        <w:rPr>
          <w:rFonts w:ascii="Helvetica" w:hAnsi="Helvetica"/>
          <w:sz w:val="19"/>
          <w:szCs w:val="19"/>
        </w:rPr>
        <w:t>Biometric information is any information about a person’s biological or behavioural characteristics, such as fingerprints, face, voice or eyes. It is increasingly common for businesses to collect and use biometric information to verify people’s identities online, enhance retail security, control access to devices or physical spaces, or to monitor attendance at a site or a work place.</w:t>
      </w:r>
    </w:p>
    <w:p w14:paraId="37B6F863" w14:textId="77777777" w:rsidR="004C6294" w:rsidRDefault="004C6294" w:rsidP="00DC0606">
      <w:pPr>
        <w:pStyle w:val="BodyA"/>
        <w:spacing w:line="360" w:lineRule="auto"/>
        <w:rPr>
          <w:rFonts w:ascii="Helvetica" w:eastAsia="Helvetica" w:hAnsi="Helvetica" w:cs="Helvetica"/>
          <w:sz w:val="19"/>
          <w:szCs w:val="19"/>
        </w:rPr>
      </w:pPr>
    </w:p>
    <w:p w14:paraId="0163CD47" w14:textId="77777777" w:rsidR="004C6294" w:rsidRDefault="005A7AE2" w:rsidP="00DC0606">
      <w:pPr>
        <w:pStyle w:val="BodyA"/>
        <w:spacing w:line="360" w:lineRule="auto"/>
        <w:rPr>
          <w:rFonts w:ascii="Helvetica" w:eastAsia="Helvetica" w:hAnsi="Helvetica" w:cs="Helvetica"/>
          <w:sz w:val="19"/>
          <w:szCs w:val="19"/>
        </w:rPr>
      </w:pPr>
      <w:r>
        <w:rPr>
          <w:rFonts w:ascii="Helvetica" w:hAnsi="Helvetica"/>
          <w:sz w:val="19"/>
          <w:szCs w:val="19"/>
        </w:rPr>
        <w:t>While the use of biometrics has significant benefits for businesses, it also increases the risks of profiling, discrimination, bias, and lack of transparency and control to individuals.</w:t>
      </w:r>
    </w:p>
    <w:p w14:paraId="6CC6D211" w14:textId="77777777" w:rsidR="004C6294" w:rsidRDefault="004C6294" w:rsidP="00DC0606">
      <w:pPr>
        <w:pStyle w:val="BodyA"/>
        <w:spacing w:line="360" w:lineRule="auto"/>
        <w:rPr>
          <w:rFonts w:ascii="Helvetica" w:eastAsia="Helvetica" w:hAnsi="Helvetica" w:cs="Helvetica"/>
          <w:sz w:val="19"/>
          <w:szCs w:val="19"/>
        </w:rPr>
      </w:pPr>
    </w:p>
    <w:p w14:paraId="2275B5A3" w14:textId="77777777" w:rsidR="004C6294" w:rsidRDefault="005A7AE2" w:rsidP="00DC0606">
      <w:pPr>
        <w:pStyle w:val="BodyA"/>
        <w:spacing w:line="360" w:lineRule="auto"/>
        <w:rPr>
          <w:rFonts w:ascii="Helvetica" w:eastAsia="Helvetica" w:hAnsi="Helvetica" w:cs="Helvetica"/>
          <w:sz w:val="19"/>
          <w:szCs w:val="19"/>
        </w:rPr>
      </w:pPr>
      <w:r>
        <w:rPr>
          <w:rFonts w:ascii="Helvetica" w:hAnsi="Helvetica"/>
          <w:sz w:val="19"/>
          <w:szCs w:val="19"/>
        </w:rPr>
        <w:t xml:space="preserve">The OPC has proposed three categories of rules that businesses must comply with when collecting and using biometric information. These are:  </w:t>
      </w:r>
    </w:p>
    <w:p w14:paraId="18C5FCF8" w14:textId="77777777" w:rsidR="004C6294" w:rsidRDefault="005A7AE2" w:rsidP="00DC0606">
      <w:pPr>
        <w:pStyle w:val="BodyA"/>
        <w:numPr>
          <w:ilvl w:val="0"/>
          <w:numId w:val="3"/>
        </w:numPr>
        <w:spacing w:line="360" w:lineRule="auto"/>
        <w:rPr>
          <w:sz w:val="19"/>
          <w:szCs w:val="19"/>
        </w:rPr>
      </w:pPr>
      <w:r>
        <w:rPr>
          <w:rFonts w:ascii="Helvetica" w:hAnsi="Helvetica"/>
          <w:sz w:val="19"/>
          <w:szCs w:val="19"/>
        </w:rPr>
        <w:t>Proportionality assessment: Businesses must undertake a proportionality assessment to ensure that the reasons for collecting biometric information outweigh the risk of privacy intrusion</w:t>
      </w:r>
    </w:p>
    <w:p w14:paraId="7E8665E5" w14:textId="77777777" w:rsidR="004C6294" w:rsidRDefault="005A7AE2" w:rsidP="00DC0606">
      <w:pPr>
        <w:pStyle w:val="BodyA"/>
        <w:numPr>
          <w:ilvl w:val="0"/>
          <w:numId w:val="3"/>
        </w:numPr>
        <w:spacing w:line="360" w:lineRule="auto"/>
        <w:rPr>
          <w:sz w:val="19"/>
          <w:szCs w:val="19"/>
        </w:rPr>
      </w:pPr>
      <w:r>
        <w:rPr>
          <w:rFonts w:ascii="Helvetica" w:hAnsi="Helvetica"/>
          <w:sz w:val="19"/>
          <w:szCs w:val="19"/>
        </w:rPr>
        <w:t>Transparency and notification: Businesses must be open and transparent with individuals and the public about the collection and use of their biometric information, and</w:t>
      </w:r>
    </w:p>
    <w:p w14:paraId="04FFFE0D" w14:textId="77777777" w:rsidR="004C6294" w:rsidRDefault="005A7AE2" w:rsidP="00DC0606">
      <w:pPr>
        <w:pStyle w:val="BodyA"/>
        <w:numPr>
          <w:ilvl w:val="0"/>
          <w:numId w:val="3"/>
        </w:numPr>
        <w:spacing w:line="360" w:lineRule="auto"/>
        <w:rPr>
          <w:sz w:val="19"/>
          <w:szCs w:val="19"/>
        </w:rPr>
      </w:pPr>
      <w:r>
        <w:rPr>
          <w:rFonts w:ascii="Helvetica" w:hAnsi="Helvetica"/>
          <w:sz w:val="19"/>
          <w:szCs w:val="19"/>
        </w:rPr>
        <w:t xml:space="preserve">Purpose limitations: The collection and use of biometric information will be restricted for certain purposes. </w:t>
      </w:r>
    </w:p>
    <w:p w14:paraId="6BC1F5F0" w14:textId="77777777" w:rsidR="004C6294" w:rsidRDefault="004C6294" w:rsidP="00DC0606">
      <w:pPr>
        <w:pStyle w:val="BodyA"/>
        <w:spacing w:line="360" w:lineRule="auto"/>
        <w:rPr>
          <w:rFonts w:ascii="Helvetica" w:eastAsia="Helvetica" w:hAnsi="Helvetica" w:cs="Helvetica"/>
          <w:sz w:val="19"/>
          <w:szCs w:val="19"/>
        </w:rPr>
      </w:pPr>
    </w:p>
    <w:p w14:paraId="55476DB4" w14:textId="07AFFF7A" w:rsidR="004C6294" w:rsidRDefault="005A7AE2" w:rsidP="00DC0606">
      <w:pPr>
        <w:pStyle w:val="BodyA"/>
        <w:spacing w:line="360" w:lineRule="auto"/>
        <w:rPr>
          <w:rFonts w:ascii="Helvetica" w:eastAsia="Helvetica" w:hAnsi="Helvetica" w:cs="Helvetica"/>
          <w:sz w:val="19"/>
          <w:szCs w:val="19"/>
        </w:rPr>
      </w:pPr>
      <w:r>
        <w:rPr>
          <w:rFonts w:ascii="Helvetica" w:hAnsi="Helvetica"/>
          <w:sz w:val="19"/>
          <w:szCs w:val="19"/>
        </w:rPr>
        <w:t>The public will have an opportunity to provide feedback on the code before</w:t>
      </w:r>
      <w:r w:rsidR="00B204E6">
        <w:rPr>
          <w:rFonts w:ascii="Helvetica" w:eastAsia="Helvetica" w:hAnsi="Helvetica" w:cs="Helvetica"/>
          <w:sz w:val="19"/>
          <w:szCs w:val="19"/>
        </w:rPr>
        <w:t xml:space="preserve"> </w:t>
      </w:r>
      <w:r>
        <w:rPr>
          <w:rFonts w:ascii="Helvetica" w:hAnsi="Helvetica"/>
          <w:sz w:val="19"/>
          <w:szCs w:val="19"/>
        </w:rPr>
        <w:t>it is implemented.</w:t>
      </w:r>
    </w:p>
    <w:p w14:paraId="30486AF5" w14:textId="77777777" w:rsidR="004C6294" w:rsidRDefault="004C6294" w:rsidP="00DC0606">
      <w:pPr>
        <w:pStyle w:val="BodyA"/>
        <w:spacing w:line="360" w:lineRule="auto"/>
        <w:rPr>
          <w:rFonts w:ascii="Helvetica" w:eastAsia="Helvetica" w:hAnsi="Helvetica" w:cs="Helvetica"/>
          <w:sz w:val="19"/>
          <w:szCs w:val="19"/>
        </w:rPr>
      </w:pPr>
    </w:p>
    <w:p w14:paraId="653C074D" w14:textId="77777777" w:rsidR="004C6294" w:rsidRPr="00B204E6" w:rsidRDefault="005A7AE2" w:rsidP="00DC0606">
      <w:pPr>
        <w:pStyle w:val="Heading2"/>
        <w:spacing w:line="360" w:lineRule="auto"/>
        <w:rPr>
          <w:sz w:val="24"/>
          <w:szCs w:val="24"/>
        </w:rPr>
      </w:pPr>
      <w:r w:rsidRPr="00B204E6">
        <w:rPr>
          <w:sz w:val="24"/>
          <w:szCs w:val="24"/>
        </w:rPr>
        <w:t>New reporting obligations for large businesses</w:t>
      </w:r>
    </w:p>
    <w:p w14:paraId="4AF10E0E" w14:textId="77777777" w:rsidR="004C6294" w:rsidRDefault="005A7AE2" w:rsidP="00DC0606">
      <w:pPr>
        <w:pStyle w:val="BodyA"/>
        <w:spacing w:line="360" w:lineRule="auto"/>
        <w:rPr>
          <w:rFonts w:ascii="Helvetica" w:eastAsia="Helvetica" w:hAnsi="Helvetica" w:cs="Helvetica"/>
          <w:sz w:val="19"/>
          <w:szCs w:val="19"/>
        </w:rPr>
      </w:pPr>
      <w:r>
        <w:rPr>
          <w:rFonts w:ascii="Helvetica" w:hAnsi="Helvetica"/>
          <w:sz w:val="19"/>
          <w:szCs w:val="19"/>
        </w:rPr>
        <w:t>The Business Payment Practices Act 2023 will come into effect on 25 May 2024. It will require large businesses to publicly report information on their payment practices to the Business Payment Practices Register.</w:t>
      </w:r>
    </w:p>
    <w:p w14:paraId="1CB51D4F" w14:textId="77777777" w:rsidR="004C6294" w:rsidRDefault="004C6294" w:rsidP="00DC0606">
      <w:pPr>
        <w:pStyle w:val="BodyA"/>
        <w:spacing w:line="360" w:lineRule="auto"/>
        <w:rPr>
          <w:rFonts w:ascii="Helvetica" w:eastAsia="Helvetica" w:hAnsi="Helvetica" w:cs="Helvetica"/>
          <w:sz w:val="19"/>
          <w:szCs w:val="19"/>
        </w:rPr>
      </w:pPr>
    </w:p>
    <w:p w14:paraId="6B321A97" w14:textId="77777777" w:rsidR="004C6294" w:rsidRDefault="005A7AE2" w:rsidP="00DC0606">
      <w:pPr>
        <w:pStyle w:val="BodyA"/>
        <w:spacing w:line="360" w:lineRule="auto"/>
        <w:rPr>
          <w:rFonts w:ascii="Helvetica" w:eastAsia="Helvetica" w:hAnsi="Helvetica" w:cs="Helvetica"/>
          <w:sz w:val="19"/>
          <w:szCs w:val="19"/>
        </w:rPr>
      </w:pPr>
      <w:r>
        <w:rPr>
          <w:rFonts w:ascii="Helvetica" w:hAnsi="Helvetica"/>
          <w:sz w:val="19"/>
          <w:szCs w:val="19"/>
        </w:rPr>
        <w:t>The legislation applies to businesses with more than $33 million in annual revenue and $10 million in third party expenditure. The information that must be reported on includes:</w:t>
      </w:r>
    </w:p>
    <w:p w14:paraId="7C330A37" w14:textId="77777777" w:rsidR="004C6294" w:rsidRDefault="004C6294" w:rsidP="00DC0606">
      <w:pPr>
        <w:pStyle w:val="BodyA"/>
        <w:spacing w:line="360" w:lineRule="auto"/>
        <w:rPr>
          <w:rFonts w:ascii="Helvetica" w:eastAsia="Helvetica" w:hAnsi="Helvetica" w:cs="Helvetica"/>
          <w:sz w:val="19"/>
          <w:szCs w:val="19"/>
        </w:rPr>
      </w:pPr>
    </w:p>
    <w:p w14:paraId="4D1BC775" w14:textId="77777777" w:rsidR="004C6294" w:rsidRDefault="005A7AE2" w:rsidP="00DC0606">
      <w:pPr>
        <w:pStyle w:val="BodyA"/>
        <w:numPr>
          <w:ilvl w:val="0"/>
          <w:numId w:val="4"/>
        </w:numPr>
        <w:spacing w:line="360" w:lineRule="auto"/>
        <w:rPr>
          <w:sz w:val="19"/>
          <w:szCs w:val="19"/>
        </w:rPr>
      </w:pPr>
      <w:r>
        <w:rPr>
          <w:rFonts w:ascii="Helvetica" w:hAnsi="Helvetica"/>
          <w:sz w:val="19"/>
          <w:szCs w:val="19"/>
        </w:rPr>
        <w:t>The average time to pay supplier invoices</w:t>
      </w:r>
    </w:p>
    <w:p w14:paraId="3DBFA780" w14:textId="77777777" w:rsidR="004C6294" w:rsidRDefault="005A7AE2" w:rsidP="00DC0606">
      <w:pPr>
        <w:pStyle w:val="BodyA"/>
        <w:numPr>
          <w:ilvl w:val="0"/>
          <w:numId w:val="4"/>
        </w:numPr>
        <w:spacing w:line="360" w:lineRule="auto"/>
        <w:rPr>
          <w:sz w:val="19"/>
          <w:szCs w:val="19"/>
        </w:rPr>
      </w:pPr>
      <w:r>
        <w:rPr>
          <w:rFonts w:ascii="Helvetica" w:hAnsi="Helvetica"/>
          <w:sz w:val="19"/>
          <w:szCs w:val="19"/>
        </w:rPr>
        <w:t xml:space="preserve">The percentage of invoices paid in full within the required timeframe, and </w:t>
      </w:r>
    </w:p>
    <w:p w14:paraId="7C89A4BA" w14:textId="77777777" w:rsidR="004C6294" w:rsidRDefault="005A7AE2" w:rsidP="00DC0606">
      <w:pPr>
        <w:pStyle w:val="BodyA"/>
        <w:numPr>
          <w:ilvl w:val="0"/>
          <w:numId w:val="4"/>
        </w:numPr>
        <w:spacing w:line="360" w:lineRule="auto"/>
        <w:rPr>
          <w:sz w:val="19"/>
          <w:szCs w:val="19"/>
        </w:rPr>
      </w:pPr>
      <w:r>
        <w:rPr>
          <w:rFonts w:ascii="Helvetica" w:hAnsi="Helvetica"/>
          <w:sz w:val="19"/>
          <w:szCs w:val="19"/>
        </w:rPr>
        <w:t xml:space="preserve">A description of the business’s standard payment terms (if any). </w:t>
      </w:r>
    </w:p>
    <w:p w14:paraId="47815B7F" w14:textId="77777777" w:rsidR="004C6294" w:rsidRDefault="004C6294" w:rsidP="00DC0606">
      <w:pPr>
        <w:pStyle w:val="BodyA"/>
        <w:spacing w:line="360" w:lineRule="auto"/>
        <w:rPr>
          <w:rFonts w:ascii="Helvetica" w:eastAsia="Helvetica" w:hAnsi="Helvetica" w:cs="Helvetica"/>
          <w:sz w:val="19"/>
          <w:szCs w:val="19"/>
        </w:rPr>
      </w:pPr>
    </w:p>
    <w:p w14:paraId="489FEE94" w14:textId="77777777" w:rsidR="004C6294" w:rsidRDefault="005A7AE2" w:rsidP="00DC0606">
      <w:pPr>
        <w:pStyle w:val="BodyA"/>
        <w:spacing w:line="360" w:lineRule="auto"/>
        <w:rPr>
          <w:rFonts w:ascii="Helvetica" w:eastAsia="Helvetica" w:hAnsi="Helvetica" w:cs="Helvetica"/>
          <w:sz w:val="19"/>
          <w:szCs w:val="19"/>
        </w:rPr>
      </w:pPr>
      <w:r>
        <w:rPr>
          <w:rFonts w:ascii="Helvetica" w:hAnsi="Helvetica"/>
          <w:sz w:val="19"/>
          <w:szCs w:val="19"/>
        </w:rPr>
        <w:t>If a business fails to comply with its reporting obligations, it could be fined up to $9,000. If a business intentionally provides false or misleading information, it could be fined up to $500,000.</w:t>
      </w:r>
    </w:p>
    <w:p w14:paraId="3A907CA2" w14:textId="77777777" w:rsidR="004C6294" w:rsidRDefault="004C6294" w:rsidP="00DC0606">
      <w:pPr>
        <w:pStyle w:val="BodyA"/>
        <w:spacing w:line="360" w:lineRule="auto"/>
        <w:rPr>
          <w:rFonts w:ascii="Helvetica" w:eastAsia="Helvetica" w:hAnsi="Helvetica" w:cs="Helvetica"/>
          <w:sz w:val="19"/>
          <w:szCs w:val="19"/>
        </w:rPr>
      </w:pPr>
    </w:p>
    <w:p w14:paraId="540A16A9" w14:textId="77777777" w:rsidR="004C6294" w:rsidRDefault="005A7AE2" w:rsidP="00DC0606">
      <w:pPr>
        <w:pStyle w:val="BodyA"/>
        <w:spacing w:line="360" w:lineRule="auto"/>
        <w:rPr>
          <w:rFonts w:ascii="Helvetica" w:hAnsi="Helvetica"/>
          <w:sz w:val="19"/>
          <w:szCs w:val="19"/>
        </w:rPr>
      </w:pPr>
      <w:r>
        <w:rPr>
          <w:rFonts w:ascii="Helvetica" w:hAnsi="Helvetica"/>
          <w:sz w:val="19"/>
          <w:szCs w:val="19"/>
        </w:rPr>
        <w:t>The Act is designed to address payment delays that can have significant impacts on the cash flow for New Zealand’s small and medium-sized businesses.</w:t>
      </w:r>
    </w:p>
    <w:p w14:paraId="221439FF" w14:textId="77777777" w:rsidR="00BB5743" w:rsidRDefault="00BB5743" w:rsidP="00DC0606">
      <w:pPr>
        <w:pStyle w:val="BodyA"/>
        <w:spacing w:line="360" w:lineRule="auto"/>
        <w:rPr>
          <w:rFonts w:ascii="Helvetica" w:eastAsia="Helvetica" w:hAnsi="Helvetica" w:cs="Helvetica"/>
          <w:sz w:val="19"/>
          <w:szCs w:val="19"/>
        </w:rPr>
      </w:pPr>
    </w:p>
    <w:p w14:paraId="7D01B4FD" w14:textId="77777777" w:rsidR="004C6294" w:rsidRDefault="005A7AE2" w:rsidP="00DC0606">
      <w:pPr>
        <w:pStyle w:val="BodyA"/>
        <w:spacing w:line="360" w:lineRule="auto"/>
      </w:pPr>
      <w:r>
        <w:rPr>
          <w:rFonts w:ascii="Helvetica" w:hAnsi="Helvetica"/>
          <w:sz w:val="19"/>
          <w:szCs w:val="19"/>
        </w:rPr>
        <w:t xml:space="preserve">If you would like more information or advice on any of the above topics, please feel free to contact us. </w:t>
      </w:r>
    </w:p>
    <w:sectPr w:rsidR="004C6294" w:rsidSect="00180E87">
      <w:headerReference w:type="default" r:id="rId7"/>
      <w:footerReference w:type="even" r:id="rId8"/>
      <w:footerReference w:type="default" r:id="rId9"/>
      <w:pgSz w:w="11900" w:h="16840"/>
      <w:pgMar w:top="1134" w:right="1134" w:bottom="1134" w:left="1134"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F4ABC" w14:textId="77777777" w:rsidR="00180E87" w:rsidRDefault="00180E87">
      <w:r>
        <w:separator/>
      </w:r>
    </w:p>
  </w:endnote>
  <w:endnote w:type="continuationSeparator" w:id="0">
    <w:p w14:paraId="373DAE6E" w14:textId="77777777" w:rsidR="00180E87" w:rsidRDefault="00180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71985148"/>
      <w:docPartObj>
        <w:docPartGallery w:val="Page Numbers (Bottom of Page)"/>
        <w:docPartUnique/>
      </w:docPartObj>
    </w:sdtPr>
    <w:sdtContent>
      <w:p w14:paraId="176D74FA" w14:textId="3220DD3E" w:rsidR="00B204E6" w:rsidRDefault="00B204E6" w:rsidP="001B26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C71739F" w14:textId="77777777" w:rsidR="00B204E6" w:rsidRDefault="00B204E6" w:rsidP="00B204E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30535529"/>
      <w:docPartObj>
        <w:docPartGallery w:val="Page Numbers (Bottom of Page)"/>
        <w:docPartUnique/>
      </w:docPartObj>
    </w:sdtPr>
    <w:sdtContent>
      <w:p w14:paraId="33FD4E1C" w14:textId="6A125231" w:rsidR="00B204E6" w:rsidRDefault="00B204E6" w:rsidP="001B26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1CD46A14" w14:textId="77777777" w:rsidR="004C6294" w:rsidRDefault="004C6294" w:rsidP="00B204E6">
    <w:pPr>
      <w:pStyle w:val="Header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A1288" w14:textId="77777777" w:rsidR="00180E87" w:rsidRDefault="00180E87">
      <w:r>
        <w:separator/>
      </w:r>
    </w:p>
  </w:footnote>
  <w:footnote w:type="continuationSeparator" w:id="0">
    <w:p w14:paraId="5308C945" w14:textId="77777777" w:rsidR="00180E87" w:rsidRDefault="00180E87">
      <w:r>
        <w:continuationSeparator/>
      </w:r>
    </w:p>
  </w:footnote>
  <w:footnote w:type="continuationNotice" w:id="1">
    <w:p w14:paraId="083AC024" w14:textId="77777777" w:rsidR="00180E87" w:rsidRDefault="00180E87"/>
  </w:footnote>
  <w:footnote w:id="2">
    <w:p w14:paraId="0BB1565F" w14:textId="77777777" w:rsidR="004C6294" w:rsidRPr="00B204E6" w:rsidRDefault="005A7AE2">
      <w:pPr>
        <w:pStyle w:val="Footnote"/>
        <w:rPr>
          <w:rFonts w:ascii="Trebuchet MS" w:hAnsi="Trebuchet MS"/>
          <w:sz w:val="19"/>
          <w:szCs w:val="19"/>
        </w:rPr>
      </w:pPr>
      <w:r>
        <w:rPr>
          <w:vertAlign w:val="superscript"/>
        </w:rPr>
        <w:footnoteRef/>
      </w:r>
      <w:r>
        <w:rPr>
          <w:rFonts w:eastAsia="Arial Unicode MS" w:cs="Arial Unicode MS"/>
        </w:rPr>
        <w:t xml:space="preserve"> </w:t>
      </w:r>
      <w:r w:rsidRPr="00B204E6">
        <w:rPr>
          <w:rFonts w:ascii="Trebuchet MS" w:eastAsia="Arial Unicode MS" w:hAnsi="Trebuchet MS" w:cs="Arial Unicode MS"/>
          <w:i/>
          <w:iCs/>
          <w:sz w:val="19"/>
          <w:szCs w:val="19"/>
          <w:lang w:val="nl-NL"/>
        </w:rPr>
        <w:t>WorkSafe New Zealand v. Whakaari Management Ltd</w:t>
      </w:r>
      <w:r w:rsidRPr="00B204E6">
        <w:rPr>
          <w:rFonts w:ascii="Trebuchet MS" w:eastAsia="Arial Unicode MS" w:hAnsi="Trebuchet MS" w:cs="Arial Unicode MS"/>
          <w:sz w:val="19"/>
          <w:szCs w:val="19"/>
        </w:rPr>
        <w:t xml:space="preserve"> </w:t>
      </w:r>
      <w:r w:rsidRPr="00B204E6">
        <w:rPr>
          <w:rFonts w:ascii="Trebuchet MS" w:eastAsia="Arial Unicode MS" w:hAnsi="Trebuchet MS" w:cs="Arial Unicode MS"/>
          <w:sz w:val="19"/>
          <w:szCs w:val="19"/>
          <w:lang w:val="pt-PT"/>
        </w:rPr>
        <w:t>[2023] NZDC 23224.</w:t>
      </w:r>
    </w:p>
  </w:footnote>
  <w:footnote w:id="3">
    <w:p w14:paraId="2D4B2380" w14:textId="77777777" w:rsidR="004C6294" w:rsidRDefault="005A7AE2">
      <w:pPr>
        <w:pStyle w:val="Footnote"/>
      </w:pPr>
      <w:r w:rsidRPr="00B204E6">
        <w:rPr>
          <w:rFonts w:ascii="Trebuchet MS" w:hAnsi="Trebuchet MS"/>
          <w:sz w:val="19"/>
          <w:szCs w:val="19"/>
          <w:vertAlign w:val="superscript"/>
        </w:rPr>
        <w:footnoteRef/>
      </w:r>
      <w:r w:rsidRPr="00B204E6">
        <w:rPr>
          <w:rFonts w:ascii="Trebuchet MS" w:eastAsia="Arial Unicode MS" w:hAnsi="Trebuchet MS" w:cs="Arial Unicode MS"/>
          <w:sz w:val="19"/>
          <w:szCs w:val="19"/>
          <w:lang w:val="en-US"/>
        </w:rPr>
        <w:t xml:space="preserve"> Sentencing will take place in late February.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F54FE" w14:textId="77777777" w:rsidR="004C6294" w:rsidRDefault="004C6294">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96D5C"/>
    <w:multiLevelType w:val="hybridMultilevel"/>
    <w:tmpl w:val="3FC02DF2"/>
    <w:styleLink w:val="Bullets"/>
    <w:lvl w:ilvl="0" w:tplc="28D01FD8">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E230E8D4">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92A41BCC">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EA66FA42">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68026B30">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A06826D8">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B226CA5E">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F960A016">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1778D25E">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C055914"/>
    <w:multiLevelType w:val="hybridMultilevel"/>
    <w:tmpl w:val="20E0792C"/>
    <w:lvl w:ilvl="0" w:tplc="0FD6EB50">
      <w:start w:val="1"/>
      <w:numFmt w:val="decimal"/>
      <w:lvlText w:val="%1."/>
      <w:lvlJc w:val="left"/>
      <w:pPr>
        <w:ind w:left="455" w:hanging="455"/>
      </w:pPr>
      <w:rPr>
        <w:rFonts w:hAnsi="Arial Unicode MS"/>
        <w:caps w:val="0"/>
        <w:smallCaps w:val="0"/>
        <w:strike w:val="0"/>
        <w:dstrike w:val="0"/>
        <w:outline w:val="0"/>
        <w:emboss w:val="0"/>
        <w:imprint w:val="0"/>
        <w:spacing w:val="0"/>
        <w:w w:val="100"/>
        <w:kern w:val="0"/>
        <w:position w:val="0"/>
        <w:highlight w:val="none"/>
        <w:vertAlign w:val="baseline"/>
      </w:rPr>
    </w:lvl>
    <w:lvl w:ilvl="1" w:tplc="0C7C59E0">
      <w:start w:val="1"/>
      <w:numFmt w:val="decimal"/>
      <w:lvlText w:val="%2."/>
      <w:lvlJc w:val="left"/>
      <w:pPr>
        <w:ind w:left="1175" w:hanging="455"/>
      </w:pPr>
      <w:rPr>
        <w:rFonts w:hAnsi="Arial Unicode MS"/>
        <w:caps w:val="0"/>
        <w:smallCaps w:val="0"/>
        <w:strike w:val="0"/>
        <w:dstrike w:val="0"/>
        <w:outline w:val="0"/>
        <w:emboss w:val="0"/>
        <w:imprint w:val="0"/>
        <w:spacing w:val="0"/>
        <w:w w:val="100"/>
        <w:kern w:val="0"/>
        <w:position w:val="0"/>
        <w:highlight w:val="none"/>
        <w:vertAlign w:val="baseline"/>
      </w:rPr>
    </w:lvl>
    <w:lvl w:ilvl="2" w:tplc="47B0C12C">
      <w:start w:val="1"/>
      <w:numFmt w:val="decimal"/>
      <w:lvlText w:val="%3."/>
      <w:lvlJc w:val="left"/>
      <w:pPr>
        <w:ind w:left="1895" w:hanging="455"/>
      </w:pPr>
      <w:rPr>
        <w:rFonts w:hAnsi="Arial Unicode MS"/>
        <w:caps w:val="0"/>
        <w:smallCaps w:val="0"/>
        <w:strike w:val="0"/>
        <w:dstrike w:val="0"/>
        <w:outline w:val="0"/>
        <w:emboss w:val="0"/>
        <w:imprint w:val="0"/>
        <w:spacing w:val="0"/>
        <w:w w:val="100"/>
        <w:kern w:val="0"/>
        <w:position w:val="0"/>
        <w:highlight w:val="none"/>
        <w:vertAlign w:val="baseline"/>
      </w:rPr>
    </w:lvl>
    <w:lvl w:ilvl="3" w:tplc="3F1A2C9C">
      <w:start w:val="1"/>
      <w:numFmt w:val="decimal"/>
      <w:lvlText w:val="%4."/>
      <w:lvlJc w:val="left"/>
      <w:pPr>
        <w:ind w:left="2615" w:hanging="455"/>
      </w:pPr>
      <w:rPr>
        <w:rFonts w:hAnsi="Arial Unicode MS"/>
        <w:caps w:val="0"/>
        <w:smallCaps w:val="0"/>
        <w:strike w:val="0"/>
        <w:dstrike w:val="0"/>
        <w:outline w:val="0"/>
        <w:emboss w:val="0"/>
        <w:imprint w:val="0"/>
        <w:spacing w:val="0"/>
        <w:w w:val="100"/>
        <w:kern w:val="0"/>
        <w:position w:val="0"/>
        <w:highlight w:val="none"/>
        <w:vertAlign w:val="baseline"/>
      </w:rPr>
    </w:lvl>
    <w:lvl w:ilvl="4" w:tplc="E70080F8">
      <w:start w:val="1"/>
      <w:numFmt w:val="decimal"/>
      <w:lvlText w:val="%5."/>
      <w:lvlJc w:val="left"/>
      <w:pPr>
        <w:ind w:left="3335" w:hanging="455"/>
      </w:pPr>
      <w:rPr>
        <w:rFonts w:hAnsi="Arial Unicode MS"/>
        <w:caps w:val="0"/>
        <w:smallCaps w:val="0"/>
        <w:strike w:val="0"/>
        <w:dstrike w:val="0"/>
        <w:outline w:val="0"/>
        <w:emboss w:val="0"/>
        <w:imprint w:val="0"/>
        <w:spacing w:val="0"/>
        <w:w w:val="100"/>
        <w:kern w:val="0"/>
        <w:position w:val="0"/>
        <w:highlight w:val="none"/>
        <w:vertAlign w:val="baseline"/>
      </w:rPr>
    </w:lvl>
    <w:lvl w:ilvl="5" w:tplc="368E53D6">
      <w:start w:val="1"/>
      <w:numFmt w:val="decimal"/>
      <w:lvlText w:val="%6."/>
      <w:lvlJc w:val="left"/>
      <w:pPr>
        <w:ind w:left="4055" w:hanging="455"/>
      </w:pPr>
      <w:rPr>
        <w:rFonts w:hAnsi="Arial Unicode MS"/>
        <w:caps w:val="0"/>
        <w:smallCaps w:val="0"/>
        <w:strike w:val="0"/>
        <w:dstrike w:val="0"/>
        <w:outline w:val="0"/>
        <w:emboss w:val="0"/>
        <w:imprint w:val="0"/>
        <w:spacing w:val="0"/>
        <w:w w:val="100"/>
        <w:kern w:val="0"/>
        <w:position w:val="0"/>
        <w:highlight w:val="none"/>
        <w:vertAlign w:val="baseline"/>
      </w:rPr>
    </w:lvl>
    <w:lvl w:ilvl="6" w:tplc="912CC6D2">
      <w:start w:val="1"/>
      <w:numFmt w:val="decimal"/>
      <w:lvlText w:val="%7."/>
      <w:lvlJc w:val="left"/>
      <w:pPr>
        <w:ind w:left="4775" w:hanging="455"/>
      </w:pPr>
      <w:rPr>
        <w:rFonts w:hAnsi="Arial Unicode MS"/>
        <w:caps w:val="0"/>
        <w:smallCaps w:val="0"/>
        <w:strike w:val="0"/>
        <w:dstrike w:val="0"/>
        <w:outline w:val="0"/>
        <w:emboss w:val="0"/>
        <w:imprint w:val="0"/>
        <w:spacing w:val="0"/>
        <w:w w:val="100"/>
        <w:kern w:val="0"/>
        <w:position w:val="0"/>
        <w:highlight w:val="none"/>
        <w:vertAlign w:val="baseline"/>
      </w:rPr>
    </w:lvl>
    <w:lvl w:ilvl="7" w:tplc="E056BF36">
      <w:start w:val="1"/>
      <w:numFmt w:val="decimal"/>
      <w:lvlText w:val="%8."/>
      <w:lvlJc w:val="left"/>
      <w:pPr>
        <w:ind w:left="5495" w:hanging="455"/>
      </w:pPr>
      <w:rPr>
        <w:rFonts w:hAnsi="Arial Unicode MS"/>
        <w:caps w:val="0"/>
        <w:smallCaps w:val="0"/>
        <w:strike w:val="0"/>
        <w:dstrike w:val="0"/>
        <w:outline w:val="0"/>
        <w:emboss w:val="0"/>
        <w:imprint w:val="0"/>
        <w:spacing w:val="0"/>
        <w:w w:val="100"/>
        <w:kern w:val="0"/>
        <w:position w:val="0"/>
        <w:highlight w:val="none"/>
        <w:vertAlign w:val="baseline"/>
      </w:rPr>
    </w:lvl>
    <w:lvl w:ilvl="8" w:tplc="EED8585E">
      <w:start w:val="1"/>
      <w:numFmt w:val="decimal"/>
      <w:lvlText w:val="%9."/>
      <w:lvlJc w:val="left"/>
      <w:pPr>
        <w:ind w:left="6215" w:hanging="45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F29591C"/>
    <w:multiLevelType w:val="hybridMultilevel"/>
    <w:tmpl w:val="3FC02DF2"/>
    <w:numStyleLink w:val="Bullets"/>
  </w:abstractNum>
  <w:abstractNum w:abstractNumId="3" w15:restartNumberingAfterBreak="0">
    <w:nsid w:val="51FE436A"/>
    <w:multiLevelType w:val="hybridMultilevel"/>
    <w:tmpl w:val="0EF64F40"/>
    <w:lvl w:ilvl="0" w:tplc="A1F25C2E">
      <w:start w:val="1"/>
      <w:numFmt w:val="bullet"/>
      <w:lvlText w:val="•"/>
      <w:lvlJc w:val="left"/>
      <w:pPr>
        <w:ind w:left="455" w:hanging="455"/>
      </w:pPr>
      <w:rPr>
        <w:rFonts w:hAnsi="Arial Unicode MS"/>
        <w:caps w:val="0"/>
        <w:smallCaps w:val="0"/>
        <w:strike w:val="0"/>
        <w:dstrike w:val="0"/>
        <w:outline w:val="0"/>
        <w:emboss w:val="0"/>
        <w:imprint w:val="0"/>
        <w:spacing w:val="0"/>
        <w:w w:val="100"/>
        <w:kern w:val="0"/>
        <w:position w:val="0"/>
        <w:highlight w:val="none"/>
        <w:vertAlign w:val="baseline"/>
      </w:rPr>
    </w:lvl>
    <w:lvl w:ilvl="1" w:tplc="D7EAAED2">
      <w:start w:val="1"/>
      <w:numFmt w:val="bullet"/>
      <w:lvlText w:val="•"/>
      <w:lvlJc w:val="left"/>
      <w:pPr>
        <w:ind w:left="1175" w:hanging="455"/>
      </w:pPr>
      <w:rPr>
        <w:rFonts w:hAnsi="Arial Unicode MS"/>
        <w:caps w:val="0"/>
        <w:smallCaps w:val="0"/>
        <w:strike w:val="0"/>
        <w:dstrike w:val="0"/>
        <w:outline w:val="0"/>
        <w:emboss w:val="0"/>
        <w:imprint w:val="0"/>
        <w:spacing w:val="0"/>
        <w:w w:val="100"/>
        <w:kern w:val="0"/>
        <w:position w:val="0"/>
        <w:highlight w:val="none"/>
        <w:vertAlign w:val="baseline"/>
      </w:rPr>
    </w:lvl>
    <w:lvl w:ilvl="2" w:tplc="5D9489F8">
      <w:start w:val="1"/>
      <w:numFmt w:val="bullet"/>
      <w:lvlText w:val="•"/>
      <w:lvlJc w:val="left"/>
      <w:pPr>
        <w:ind w:left="1895" w:hanging="455"/>
      </w:pPr>
      <w:rPr>
        <w:rFonts w:hAnsi="Arial Unicode MS"/>
        <w:caps w:val="0"/>
        <w:smallCaps w:val="0"/>
        <w:strike w:val="0"/>
        <w:dstrike w:val="0"/>
        <w:outline w:val="0"/>
        <w:emboss w:val="0"/>
        <w:imprint w:val="0"/>
        <w:spacing w:val="0"/>
        <w:w w:val="100"/>
        <w:kern w:val="0"/>
        <w:position w:val="0"/>
        <w:highlight w:val="none"/>
        <w:vertAlign w:val="baseline"/>
      </w:rPr>
    </w:lvl>
    <w:lvl w:ilvl="3" w:tplc="68A29452">
      <w:start w:val="1"/>
      <w:numFmt w:val="bullet"/>
      <w:lvlText w:val="•"/>
      <w:lvlJc w:val="left"/>
      <w:pPr>
        <w:ind w:left="2615" w:hanging="455"/>
      </w:pPr>
      <w:rPr>
        <w:rFonts w:hAnsi="Arial Unicode MS"/>
        <w:caps w:val="0"/>
        <w:smallCaps w:val="0"/>
        <w:strike w:val="0"/>
        <w:dstrike w:val="0"/>
        <w:outline w:val="0"/>
        <w:emboss w:val="0"/>
        <w:imprint w:val="0"/>
        <w:spacing w:val="0"/>
        <w:w w:val="100"/>
        <w:kern w:val="0"/>
        <w:position w:val="0"/>
        <w:highlight w:val="none"/>
        <w:vertAlign w:val="baseline"/>
      </w:rPr>
    </w:lvl>
    <w:lvl w:ilvl="4" w:tplc="802CAD9E">
      <w:start w:val="1"/>
      <w:numFmt w:val="bullet"/>
      <w:lvlText w:val="•"/>
      <w:lvlJc w:val="left"/>
      <w:pPr>
        <w:ind w:left="3335" w:hanging="455"/>
      </w:pPr>
      <w:rPr>
        <w:rFonts w:hAnsi="Arial Unicode MS"/>
        <w:caps w:val="0"/>
        <w:smallCaps w:val="0"/>
        <w:strike w:val="0"/>
        <w:dstrike w:val="0"/>
        <w:outline w:val="0"/>
        <w:emboss w:val="0"/>
        <w:imprint w:val="0"/>
        <w:spacing w:val="0"/>
        <w:w w:val="100"/>
        <w:kern w:val="0"/>
        <w:position w:val="0"/>
        <w:highlight w:val="none"/>
        <w:vertAlign w:val="baseline"/>
      </w:rPr>
    </w:lvl>
    <w:lvl w:ilvl="5" w:tplc="175438CA">
      <w:start w:val="1"/>
      <w:numFmt w:val="bullet"/>
      <w:lvlText w:val="•"/>
      <w:lvlJc w:val="left"/>
      <w:pPr>
        <w:ind w:left="4055" w:hanging="455"/>
      </w:pPr>
      <w:rPr>
        <w:rFonts w:hAnsi="Arial Unicode MS"/>
        <w:caps w:val="0"/>
        <w:smallCaps w:val="0"/>
        <w:strike w:val="0"/>
        <w:dstrike w:val="0"/>
        <w:outline w:val="0"/>
        <w:emboss w:val="0"/>
        <w:imprint w:val="0"/>
        <w:spacing w:val="0"/>
        <w:w w:val="100"/>
        <w:kern w:val="0"/>
        <w:position w:val="0"/>
        <w:highlight w:val="none"/>
        <w:vertAlign w:val="baseline"/>
      </w:rPr>
    </w:lvl>
    <w:lvl w:ilvl="6" w:tplc="246A73EA">
      <w:start w:val="1"/>
      <w:numFmt w:val="bullet"/>
      <w:lvlText w:val="•"/>
      <w:lvlJc w:val="left"/>
      <w:pPr>
        <w:ind w:left="4775" w:hanging="455"/>
      </w:pPr>
      <w:rPr>
        <w:rFonts w:hAnsi="Arial Unicode MS"/>
        <w:caps w:val="0"/>
        <w:smallCaps w:val="0"/>
        <w:strike w:val="0"/>
        <w:dstrike w:val="0"/>
        <w:outline w:val="0"/>
        <w:emboss w:val="0"/>
        <w:imprint w:val="0"/>
        <w:spacing w:val="0"/>
        <w:w w:val="100"/>
        <w:kern w:val="0"/>
        <w:position w:val="0"/>
        <w:highlight w:val="none"/>
        <w:vertAlign w:val="baseline"/>
      </w:rPr>
    </w:lvl>
    <w:lvl w:ilvl="7" w:tplc="7B4C7874">
      <w:start w:val="1"/>
      <w:numFmt w:val="bullet"/>
      <w:lvlText w:val="•"/>
      <w:lvlJc w:val="left"/>
      <w:pPr>
        <w:ind w:left="5495" w:hanging="455"/>
      </w:pPr>
      <w:rPr>
        <w:rFonts w:hAnsi="Arial Unicode MS"/>
        <w:caps w:val="0"/>
        <w:smallCaps w:val="0"/>
        <w:strike w:val="0"/>
        <w:dstrike w:val="0"/>
        <w:outline w:val="0"/>
        <w:emboss w:val="0"/>
        <w:imprint w:val="0"/>
        <w:spacing w:val="0"/>
        <w:w w:val="100"/>
        <w:kern w:val="0"/>
        <w:position w:val="0"/>
        <w:highlight w:val="none"/>
        <w:vertAlign w:val="baseline"/>
      </w:rPr>
    </w:lvl>
    <w:lvl w:ilvl="8" w:tplc="6BF2AC6E">
      <w:start w:val="1"/>
      <w:numFmt w:val="bullet"/>
      <w:lvlText w:val="•"/>
      <w:lvlJc w:val="left"/>
      <w:pPr>
        <w:ind w:left="6215" w:hanging="455"/>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360129415">
    <w:abstractNumId w:val="0"/>
  </w:num>
  <w:num w:numId="2" w16cid:durableId="1458142238">
    <w:abstractNumId w:val="2"/>
  </w:num>
  <w:num w:numId="3" w16cid:durableId="103428041">
    <w:abstractNumId w:val="1"/>
  </w:num>
  <w:num w:numId="4" w16cid:durableId="21104224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isplayBackgroundShape/>
  <w:proofState w:spelling="clean" w:grammar="clean"/>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294"/>
    <w:rsid w:val="000339F6"/>
    <w:rsid w:val="00180E87"/>
    <w:rsid w:val="004C6294"/>
    <w:rsid w:val="004E11C8"/>
    <w:rsid w:val="00584D2F"/>
    <w:rsid w:val="005A7AE2"/>
    <w:rsid w:val="00734F8A"/>
    <w:rsid w:val="00B204E6"/>
    <w:rsid w:val="00BB5743"/>
    <w:rsid w:val="00C4054D"/>
    <w:rsid w:val="00DC060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59DF76FD"/>
  <w15:docId w15:val="{575C0F69-DE64-074A-8828-F2C7DE6FD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NZ"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paragraph" w:styleId="Heading2">
    <w:name w:val="heading 2"/>
    <w:next w:val="BodyA"/>
    <w:uiPriority w:val="9"/>
    <w:unhideWhenUsed/>
    <w:qFormat/>
    <w:pPr>
      <w:keepNext/>
      <w:outlineLvl w:val="1"/>
    </w:pPr>
    <w:rPr>
      <w:rFonts w:ascii="Helvetica Neue" w:hAnsi="Helvetica Neue" w:cs="Arial Unicode MS"/>
      <w:b/>
      <w:bCs/>
      <w:color w:val="000000"/>
      <w:sz w:val="32"/>
      <w:szCs w:val="32"/>
      <w:u w:color="000000"/>
      <w:lang w:val="en-US"/>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rPr>
      <w:rFonts w:ascii="Helvetica Neue" w:hAnsi="Helvetica Neue" w:cs="Arial Unicode MS"/>
      <w:color w:val="000000"/>
      <w:sz w:val="22"/>
      <w:szCs w:val="22"/>
      <w:u w:color="000000"/>
      <w:lang w:val="en-US"/>
      <w14:textOutline w14:w="12700" w14:cap="flat" w14:cmpd="sng" w14:algn="ctr">
        <w14:noFill/>
        <w14:prstDash w14:val="solid"/>
        <w14:miter w14:lim="400000"/>
      </w14:textOutline>
    </w:rPr>
  </w:style>
  <w:style w:type="paragraph" w:styleId="Title">
    <w:name w:val="Title"/>
    <w:next w:val="BodyA"/>
    <w:uiPriority w:val="10"/>
    <w:qFormat/>
    <w:pPr>
      <w:keepNext/>
    </w:pPr>
    <w:rPr>
      <w:rFonts w:ascii="Helvetica Neue" w:hAnsi="Helvetica Neue" w:cs="Arial Unicode MS"/>
      <w:b/>
      <w:bCs/>
      <w:color w:val="000000"/>
      <w:sz w:val="60"/>
      <w:szCs w:val="60"/>
      <w:u w:color="000000"/>
      <w:lang w:val="en-US"/>
      <w14:textOutline w14:w="12700" w14:cap="flat" w14:cmpd="sng" w14:algn="ctr">
        <w14:noFill/>
        <w14:prstDash w14:val="solid"/>
        <w14:miter w14:lim="400000"/>
      </w14:textOutline>
    </w:rPr>
  </w:style>
  <w:style w:type="paragraph" w:customStyle="1" w:styleId="BodyA">
    <w:name w:val="Body A"/>
    <w:rPr>
      <w:rFonts w:ascii="Calibri Light" w:hAnsi="Calibri Light" w:cs="Arial Unicode MS"/>
      <w:color w:val="000000"/>
      <w:sz w:val="24"/>
      <w:szCs w:val="24"/>
      <w:u w:color="000000"/>
      <w:lang w:val="en-US"/>
      <w14:textOutline w14:w="12700" w14:cap="flat" w14:cmpd="sng" w14:algn="ctr">
        <w14:noFill/>
        <w14:prstDash w14:val="solid"/>
        <w14:miter w14:lim="400000"/>
      </w14:textOutline>
    </w:rPr>
  </w:style>
  <w:style w:type="numbering" w:customStyle="1" w:styleId="Bullets">
    <w:name w:val="Bullets"/>
    <w:pPr>
      <w:numPr>
        <w:numId w:val="1"/>
      </w:numPr>
    </w:pPr>
  </w:style>
  <w:style w:type="paragraph" w:customStyle="1" w:styleId="Footnote">
    <w:name w:val="Footnote"/>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styleId="Footer">
    <w:name w:val="footer"/>
    <w:basedOn w:val="Normal"/>
    <w:link w:val="FooterChar"/>
    <w:uiPriority w:val="99"/>
    <w:unhideWhenUsed/>
    <w:rsid w:val="00B204E6"/>
    <w:pPr>
      <w:tabs>
        <w:tab w:val="center" w:pos="4513"/>
        <w:tab w:val="right" w:pos="9026"/>
      </w:tabs>
    </w:pPr>
  </w:style>
  <w:style w:type="character" w:customStyle="1" w:styleId="FooterChar">
    <w:name w:val="Footer Char"/>
    <w:basedOn w:val="DefaultParagraphFont"/>
    <w:link w:val="Footer"/>
    <w:uiPriority w:val="99"/>
    <w:rsid w:val="00B204E6"/>
    <w:rPr>
      <w:sz w:val="24"/>
      <w:szCs w:val="24"/>
      <w:lang w:val="en-US"/>
    </w:rPr>
  </w:style>
  <w:style w:type="character" w:styleId="PageNumber">
    <w:name w:val="page number"/>
    <w:basedOn w:val="DefaultParagraphFont"/>
    <w:uiPriority w:val="99"/>
    <w:semiHidden/>
    <w:unhideWhenUsed/>
    <w:rsid w:val="00B20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7</Pages>
  <Words>2056</Words>
  <Characters>11720</Characters>
  <Application>Microsoft Office Word</Application>
  <DocSecurity>0</DocSecurity>
  <Lines>97</Lines>
  <Paragraphs>27</Paragraphs>
  <ScaleCrop>false</ScaleCrop>
  <Company/>
  <LinksUpToDate>false</LinksUpToDate>
  <CharactersWithSpaces>13749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Adrienne Olsen</cp:lastModifiedBy>
  <cp:revision>9</cp:revision>
  <dcterms:created xsi:type="dcterms:W3CDTF">2024-02-02T00:04:00Z</dcterms:created>
  <dcterms:modified xsi:type="dcterms:W3CDTF">2024-02-02T05:33:00Z</dcterms:modified>
</cp:coreProperties>
</file>